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26" w:rsidRDefault="00E50526">
      <w:pPr>
        <w:overflowPunct w:val="0"/>
        <w:adjustRightInd w:val="0"/>
        <w:snapToGrid w:val="0"/>
        <w:spacing w:line="580" w:lineRule="exact"/>
        <w:jc w:val="center"/>
        <w:rPr>
          <w:rFonts w:ascii="宋体"/>
          <w:b/>
          <w:bCs/>
          <w:sz w:val="44"/>
          <w:szCs w:val="44"/>
        </w:rPr>
      </w:pPr>
    </w:p>
    <w:p w:rsidR="00E50526" w:rsidRDefault="00E50526">
      <w:pPr>
        <w:overflowPunct w:val="0"/>
        <w:adjustRightInd w:val="0"/>
        <w:snapToGrid w:val="0"/>
        <w:spacing w:line="580" w:lineRule="exact"/>
        <w:jc w:val="center"/>
        <w:rPr>
          <w:rFonts w:ascii="宋体"/>
          <w:b/>
          <w:bCs/>
          <w:sz w:val="44"/>
          <w:szCs w:val="44"/>
        </w:rPr>
      </w:pPr>
    </w:p>
    <w:p w:rsidR="00E50526" w:rsidRDefault="00E50526">
      <w:pPr>
        <w:overflowPunct w:val="0"/>
        <w:adjustRightInd w:val="0"/>
        <w:snapToGrid w:val="0"/>
        <w:spacing w:line="580" w:lineRule="exact"/>
        <w:jc w:val="center"/>
        <w:rPr>
          <w:rFonts w:ascii="宋体"/>
          <w:b/>
          <w:bCs/>
          <w:sz w:val="44"/>
          <w:szCs w:val="44"/>
        </w:rPr>
      </w:pPr>
    </w:p>
    <w:p w:rsidR="00E50526" w:rsidRDefault="00E50526">
      <w:pPr>
        <w:overflowPunct w:val="0"/>
        <w:adjustRightInd w:val="0"/>
        <w:snapToGrid w:val="0"/>
        <w:spacing w:line="58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关于加快小微企业园高质量发展的实施意见</w:t>
      </w:r>
    </w:p>
    <w:p w:rsidR="00E50526" w:rsidRDefault="00E50526">
      <w:pPr>
        <w:overflowPunct w:val="0"/>
        <w:adjustRightInd w:val="0"/>
        <w:snapToGrid w:val="0"/>
        <w:spacing w:line="580" w:lineRule="exact"/>
        <w:jc w:val="center"/>
        <w:rPr>
          <w:rFonts w:eastAsia="楷体_GB2312"/>
          <w:sz w:val="32"/>
          <w:szCs w:val="32"/>
        </w:rPr>
      </w:pPr>
      <w:r>
        <w:rPr>
          <w:rFonts w:eastAsia="楷体_GB2312" w:cs="楷体_GB2312" w:hint="eastAsia"/>
          <w:sz w:val="32"/>
          <w:szCs w:val="32"/>
        </w:rPr>
        <w:t>（</w:t>
      </w:r>
      <w:r w:rsidR="007C453E">
        <w:rPr>
          <w:rFonts w:eastAsia="楷体_GB2312" w:cs="楷体_GB2312" w:hint="eastAsia"/>
          <w:sz w:val="32"/>
          <w:szCs w:val="32"/>
        </w:rPr>
        <w:t>征求意见</w:t>
      </w:r>
      <w:r>
        <w:rPr>
          <w:rFonts w:eastAsia="楷体_GB2312" w:cs="楷体_GB2312" w:hint="eastAsia"/>
          <w:sz w:val="32"/>
          <w:szCs w:val="32"/>
        </w:rPr>
        <w:t>稿）</w:t>
      </w:r>
    </w:p>
    <w:p w:rsidR="00E50526" w:rsidRDefault="00E50526">
      <w:pPr>
        <w:overflowPunct w:val="0"/>
        <w:adjustRightInd w:val="0"/>
        <w:snapToGrid w:val="0"/>
        <w:spacing w:line="580" w:lineRule="exact"/>
        <w:rPr>
          <w:rFonts w:eastAsia="仿宋"/>
          <w:sz w:val="32"/>
          <w:szCs w:val="32"/>
        </w:rPr>
      </w:pPr>
    </w:p>
    <w:p w:rsidR="00E50526" w:rsidRDefault="00E50526" w:rsidP="00BE1536">
      <w:pPr>
        <w:overflowPunct w:val="0"/>
        <w:adjustRightInd w:val="0"/>
        <w:snapToGrid w:val="0"/>
        <w:spacing w:line="580" w:lineRule="exact"/>
        <w:ind w:firstLineChars="200" w:firstLine="640"/>
        <w:rPr>
          <w:rFonts w:eastAsia="仿宋_GB2312"/>
          <w:sz w:val="32"/>
          <w:szCs w:val="32"/>
        </w:rPr>
      </w:pPr>
      <w:r>
        <w:rPr>
          <w:rFonts w:eastAsia="仿宋_GB2312" w:cs="仿宋_GB2312" w:hint="eastAsia"/>
          <w:sz w:val="32"/>
          <w:szCs w:val="32"/>
        </w:rPr>
        <w:t>为加快建设提升小微企业园，促进资源要素优化组合，构建良性高效有序产业生态圈，夯实经济高质量发展基础，再创发展新优势，现就加快小微企业园高质量发展提出如下实施意见。</w:t>
      </w:r>
    </w:p>
    <w:p w:rsidR="00E50526" w:rsidRDefault="00E50526" w:rsidP="00BE1536">
      <w:pPr>
        <w:overflowPunct w:val="0"/>
        <w:adjustRightInd w:val="0"/>
        <w:snapToGrid w:val="0"/>
        <w:spacing w:line="580" w:lineRule="exact"/>
        <w:ind w:firstLineChars="200" w:firstLine="640"/>
        <w:rPr>
          <w:rFonts w:eastAsia="黑体"/>
          <w:sz w:val="32"/>
          <w:szCs w:val="32"/>
        </w:rPr>
      </w:pPr>
      <w:r>
        <w:rPr>
          <w:rFonts w:eastAsia="黑体" w:cs="黑体" w:hint="eastAsia"/>
          <w:sz w:val="32"/>
          <w:szCs w:val="32"/>
        </w:rPr>
        <w:t>一、总体要求</w:t>
      </w:r>
    </w:p>
    <w:p w:rsidR="00E50526" w:rsidRDefault="00E50526" w:rsidP="00BE1536">
      <w:pPr>
        <w:overflowPunct w:val="0"/>
        <w:adjustRightInd w:val="0"/>
        <w:snapToGrid w:val="0"/>
        <w:spacing w:line="580" w:lineRule="exact"/>
        <w:ind w:firstLineChars="200" w:firstLine="643"/>
        <w:rPr>
          <w:rFonts w:eastAsia="仿宋_GB2312"/>
          <w:sz w:val="32"/>
          <w:szCs w:val="32"/>
        </w:rPr>
      </w:pPr>
      <w:r>
        <w:rPr>
          <w:rFonts w:eastAsia="楷体_GB2312" w:cs="楷体_GB2312" w:hint="eastAsia"/>
          <w:b/>
          <w:bCs/>
          <w:sz w:val="32"/>
          <w:szCs w:val="32"/>
        </w:rPr>
        <w:t>（一）指导思想。</w:t>
      </w:r>
      <w:r>
        <w:rPr>
          <w:rFonts w:eastAsia="仿宋_GB2312" w:cs="仿宋_GB2312" w:hint="eastAsia"/>
          <w:sz w:val="32"/>
          <w:szCs w:val="32"/>
        </w:rPr>
        <w:t>以现代化强市建设为统领，以推进供给侧结构性改革为主线，把小微企业园建设作为打好高质量发展组合拳的重要一招，坚持高起点规划布局、高标准开发建设、高质量集聚发展、高水平运行管理、高效能机制</w:t>
      </w:r>
      <w:bookmarkStart w:id="0" w:name="_GoBack"/>
      <w:bookmarkEnd w:id="0"/>
      <w:r>
        <w:rPr>
          <w:rFonts w:eastAsia="仿宋_GB2312" w:cs="仿宋_GB2312" w:hint="eastAsia"/>
          <w:sz w:val="32"/>
          <w:szCs w:val="32"/>
        </w:rPr>
        <w:t>服务，为全市中小微企业创业创新开辟新空间、营造新环境、创造新优势，助推经济高质量发展。</w:t>
      </w:r>
    </w:p>
    <w:p w:rsidR="00E50526" w:rsidRDefault="00E50526" w:rsidP="00BE1536">
      <w:pPr>
        <w:overflowPunct w:val="0"/>
        <w:adjustRightInd w:val="0"/>
        <w:snapToGrid w:val="0"/>
        <w:spacing w:line="580" w:lineRule="exact"/>
        <w:ind w:firstLineChars="200" w:firstLine="643"/>
        <w:rPr>
          <w:rFonts w:eastAsia="仿宋_GB2312"/>
          <w:sz w:val="32"/>
          <w:szCs w:val="32"/>
        </w:rPr>
      </w:pPr>
      <w:r>
        <w:rPr>
          <w:rFonts w:eastAsia="楷体_GB2312" w:cs="楷体_GB2312" w:hint="eastAsia"/>
          <w:b/>
          <w:bCs/>
          <w:sz w:val="32"/>
          <w:szCs w:val="32"/>
        </w:rPr>
        <w:t>（二）主要目标。</w:t>
      </w:r>
      <w:r>
        <w:rPr>
          <w:rFonts w:eastAsia="仿宋_GB2312" w:cs="仿宋_GB2312" w:hint="eastAsia"/>
          <w:sz w:val="32"/>
          <w:szCs w:val="32"/>
        </w:rPr>
        <w:t>通过努力，到</w:t>
      </w:r>
      <w:r>
        <w:rPr>
          <w:rFonts w:eastAsia="仿宋_GB2312"/>
          <w:sz w:val="32"/>
          <w:szCs w:val="32"/>
        </w:rPr>
        <w:t>2022</w:t>
      </w:r>
      <w:r>
        <w:rPr>
          <w:rFonts w:eastAsia="仿宋_GB2312" w:cs="仿宋_GB2312" w:hint="eastAsia"/>
          <w:sz w:val="32"/>
          <w:szCs w:val="32"/>
        </w:rPr>
        <w:t>年构建形成块状产业集群、企业发展集聚、要素服务集成的小微企业产业生态圈，成为全省小微企业园建设示范区。</w:t>
      </w:r>
    </w:p>
    <w:p w:rsidR="00E50526" w:rsidRDefault="00A5510A" w:rsidP="00BE1536">
      <w:pPr>
        <w:overflowPunct w:val="0"/>
        <w:adjustRightInd w:val="0"/>
        <w:snapToGrid w:val="0"/>
        <w:spacing w:line="580" w:lineRule="exact"/>
        <w:ind w:firstLineChars="200" w:firstLine="420"/>
        <w:rPr>
          <w:rFonts w:eastAsia="仿宋_GB2312"/>
          <w:sz w:val="32"/>
          <w:szCs w:val="32"/>
        </w:rPr>
      </w:pPr>
      <w:r w:rsidRPr="00A5510A">
        <w:rPr>
          <w:noProof/>
        </w:rPr>
        <w:pict>
          <v:shapetype id="_x0000_t202" coordsize="21600,21600" o:spt="202" path="m,l,21600r21600,l21600,xe">
            <v:stroke joinstyle="miter"/>
            <v:path gradientshapeok="t" o:connecttype="rect"/>
          </v:shapetype>
          <v:shape id="_x0000_s1027" type="#_x0000_t202" style="position:absolute;left:0;text-align:left;margin-left:206.55pt;margin-top:93.85pt;width:34.3pt;height:25.7pt;z-index:251657728" strokecolor="white">
            <v:textbox>
              <w:txbxContent>
                <w:p w:rsidR="00E50526" w:rsidRDefault="00E50526"/>
              </w:txbxContent>
            </v:textbox>
          </v:shape>
        </w:pict>
      </w:r>
      <w:r w:rsidR="00E50526">
        <w:rPr>
          <w:rFonts w:eastAsia="楷体_GB2312" w:cs="楷体_GB2312" w:hint="eastAsia"/>
          <w:sz w:val="32"/>
          <w:szCs w:val="32"/>
        </w:rPr>
        <w:t>平台园区更加集聚。</w:t>
      </w:r>
      <w:r w:rsidR="00E50526">
        <w:rPr>
          <w:rFonts w:eastAsia="仿宋_GB2312" w:cs="仿宋_GB2312" w:hint="eastAsia"/>
          <w:sz w:val="32"/>
          <w:szCs w:val="32"/>
        </w:rPr>
        <w:t>建设提升小微企业园</w:t>
      </w:r>
      <w:r w:rsidR="00E50526">
        <w:rPr>
          <w:rFonts w:eastAsia="仿宋_GB2312"/>
          <w:sz w:val="32"/>
          <w:szCs w:val="32"/>
        </w:rPr>
        <w:t>150</w:t>
      </w:r>
      <w:r w:rsidR="00E50526">
        <w:rPr>
          <w:rFonts w:eastAsia="仿宋_GB2312" w:cs="仿宋_GB2312" w:hint="eastAsia"/>
          <w:sz w:val="32"/>
          <w:szCs w:val="32"/>
        </w:rPr>
        <w:t>个以上，其中生产制造类</w:t>
      </w:r>
      <w:r w:rsidR="00E50526">
        <w:rPr>
          <w:rFonts w:eastAsia="仿宋_GB2312"/>
          <w:sz w:val="32"/>
          <w:szCs w:val="32"/>
        </w:rPr>
        <w:t>100</w:t>
      </w:r>
      <w:r w:rsidR="00E50526">
        <w:rPr>
          <w:rFonts w:eastAsia="仿宋_GB2312" w:cs="仿宋_GB2312" w:hint="eastAsia"/>
          <w:sz w:val="32"/>
          <w:szCs w:val="32"/>
        </w:rPr>
        <w:t>个以上，并打造</w:t>
      </w:r>
      <w:r w:rsidR="00E50526">
        <w:rPr>
          <w:rFonts w:eastAsia="仿宋_GB2312"/>
          <w:sz w:val="32"/>
          <w:szCs w:val="32"/>
        </w:rPr>
        <w:t>20</w:t>
      </w:r>
      <w:r w:rsidR="00E50526">
        <w:rPr>
          <w:rFonts w:eastAsia="仿宋_GB2312" w:cs="仿宋_GB2312" w:hint="eastAsia"/>
          <w:sz w:val="32"/>
          <w:szCs w:val="32"/>
        </w:rPr>
        <w:t>个左右在全省乃至全国有一定影响力的特色型、高端型、创新型、精品型小微企业园，推动</w:t>
      </w:r>
      <w:r w:rsidR="00E50526">
        <w:rPr>
          <w:rFonts w:eastAsia="仿宋_GB2312"/>
          <w:sz w:val="32"/>
          <w:szCs w:val="32"/>
        </w:rPr>
        <w:lastRenderedPageBreak/>
        <w:t>1</w:t>
      </w:r>
      <w:r w:rsidR="00E50526">
        <w:rPr>
          <w:rFonts w:eastAsia="仿宋_GB2312" w:cs="仿宋_GB2312" w:hint="eastAsia"/>
          <w:sz w:val="32"/>
          <w:szCs w:val="32"/>
        </w:rPr>
        <w:t>万家小微企业入园发展。</w:t>
      </w:r>
    </w:p>
    <w:p w:rsidR="00E50526" w:rsidRDefault="00E50526" w:rsidP="00BE1536">
      <w:pPr>
        <w:overflowPunct w:val="0"/>
        <w:adjustRightInd w:val="0"/>
        <w:snapToGrid w:val="0"/>
        <w:spacing w:line="580" w:lineRule="exact"/>
        <w:ind w:firstLineChars="200" w:firstLine="640"/>
        <w:rPr>
          <w:rFonts w:eastAsia="仿宋_GB2312"/>
          <w:sz w:val="32"/>
          <w:szCs w:val="32"/>
        </w:rPr>
      </w:pPr>
      <w:r>
        <w:rPr>
          <w:rFonts w:eastAsia="楷体_GB2312" w:cs="楷体_GB2312" w:hint="eastAsia"/>
          <w:sz w:val="32"/>
          <w:szCs w:val="32"/>
        </w:rPr>
        <w:t>资源要素更加集约。</w:t>
      </w:r>
      <w:r>
        <w:rPr>
          <w:rFonts w:eastAsia="仿宋_GB2312" w:cs="仿宋_GB2312" w:hint="eastAsia"/>
          <w:sz w:val="32"/>
          <w:szCs w:val="32"/>
        </w:rPr>
        <w:t>基本完成老旧工业点和小微企业集聚片区改造提升任务；亩均效益每年提高</w:t>
      </w:r>
      <w:r>
        <w:rPr>
          <w:rFonts w:eastAsia="仿宋_GB2312"/>
          <w:sz w:val="32"/>
          <w:szCs w:val="32"/>
        </w:rPr>
        <w:t>10%</w:t>
      </w:r>
      <w:r>
        <w:rPr>
          <w:rFonts w:eastAsia="仿宋_GB2312" w:cs="仿宋_GB2312" w:hint="eastAsia"/>
          <w:sz w:val="32"/>
          <w:szCs w:val="32"/>
        </w:rPr>
        <w:t>以上。</w:t>
      </w:r>
    </w:p>
    <w:p w:rsidR="00E50526" w:rsidRDefault="00E50526" w:rsidP="00BE1536">
      <w:pPr>
        <w:overflowPunct w:val="0"/>
        <w:adjustRightInd w:val="0"/>
        <w:snapToGrid w:val="0"/>
        <w:spacing w:line="580" w:lineRule="exact"/>
        <w:ind w:firstLineChars="200" w:firstLine="640"/>
        <w:rPr>
          <w:rFonts w:eastAsia="仿宋_GB2312"/>
          <w:sz w:val="32"/>
          <w:szCs w:val="32"/>
        </w:rPr>
      </w:pPr>
      <w:r>
        <w:rPr>
          <w:rFonts w:eastAsia="楷体_GB2312" w:cs="楷体_GB2312" w:hint="eastAsia"/>
          <w:sz w:val="32"/>
          <w:szCs w:val="32"/>
        </w:rPr>
        <w:t>活力能级更加提升。</w:t>
      </w:r>
      <w:r>
        <w:rPr>
          <w:rFonts w:eastAsia="仿宋_GB2312" w:cs="仿宋_GB2312" w:hint="eastAsia"/>
          <w:sz w:val="32"/>
          <w:szCs w:val="32"/>
        </w:rPr>
        <w:t>整治“低散乱”和“散乱污”企业（作坊）</w:t>
      </w:r>
      <w:r>
        <w:rPr>
          <w:rFonts w:eastAsia="仿宋_GB2312"/>
          <w:sz w:val="32"/>
          <w:szCs w:val="32"/>
        </w:rPr>
        <w:t>3000</w:t>
      </w:r>
      <w:r>
        <w:rPr>
          <w:rFonts w:eastAsia="仿宋_GB2312" w:cs="仿宋_GB2312" w:hint="eastAsia"/>
          <w:sz w:val="32"/>
          <w:szCs w:val="32"/>
        </w:rPr>
        <w:t>家以上，推动</w:t>
      </w:r>
      <w:r>
        <w:rPr>
          <w:rFonts w:eastAsia="仿宋_GB2312"/>
          <w:sz w:val="32"/>
          <w:szCs w:val="32"/>
        </w:rPr>
        <w:t>2000</w:t>
      </w:r>
      <w:r>
        <w:rPr>
          <w:rFonts w:eastAsia="仿宋_GB2312" w:cs="仿宋_GB2312" w:hint="eastAsia"/>
          <w:sz w:val="32"/>
          <w:szCs w:val="32"/>
        </w:rPr>
        <w:t>家企业实现“小升规”，培育“专精特新”企业</w:t>
      </w:r>
      <w:r>
        <w:rPr>
          <w:rFonts w:eastAsia="仿宋_GB2312"/>
          <w:sz w:val="32"/>
          <w:szCs w:val="32"/>
        </w:rPr>
        <w:t>3000</w:t>
      </w:r>
      <w:r>
        <w:rPr>
          <w:rFonts w:eastAsia="仿宋_GB2312" w:cs="仿宋_GB2312" w:hint="eastAsia"/>
          <w:sz w:val="32"/>
          <w:szCs w:val="32"/>
        </w:rPr>
        <w:t>家，新增科技型小微企业</w:t>
      </w:r>
      <w:r>
        <w:rPr>
          <w:rFonts w:eastAsia="仿宋_GB2312"/>
          <w:sz w:val="32"/>
          <w:szCs w:val="32"/>
        </w:rPr>
        <w:t>2000</w:t>
      </w:r>
      <w:r>
        <w:rPr>
          <w:rFonts w:eastAsia="仿宋_GB2312" w:cs="仿宋_GB2312" w:hint="eastAsia"/>
          <w:sz w:val="32"/>
          <w:szCs w:val="32"/>
        </w:rPr>
        <w:t>家。</w:t>
      </w:r>
    </w:p>
    <w:p w:rsidR="00E50526" w:rsidRDefault="00E50526" w:rsidP="00BE1536">
      <w:pPr>
        <w:overflowPunct w:val="0"/>
        <w:adjustRightInd w:val="0"/>
        <w:snapToGrid w:val="0"/>
        <w:spacing w:line="580" w:lineRule="exact"/>
        <w:ind w:firstLineChars="200" w:firstLine="640"/>
        <w:rPr>
          <w:rFonts w:eastAsia="仿宋_GB2312"/>
          <w:sz w:val="32"/>
          <w:szCs w:val="32"/>
        </w:rPr>
      </w:pPr>
      <w:r>
        <w:rPr>
          <w:rFonts w:eastAsia="楷体_GB2312" w:cs="楷体_GB2312" w:hint="eastAsia"/>
          <w:sz w:val="32"/>
          <w:szCs w:val="32"/>
        </w:rPr>
        <w:t>发展生态更加优质。</w:t>
      </w:r>
      <w:r>
        <w:rPr>
          <w:rFonts w:eastAsia="仿宋_GB2312" w:cs="仿宋_GB2312" w:hint="eastAsia"/>
          <w:sz w:val="32"/>
          <w:szCs w:val="32"/>
        </w:rPr>
        <w:t>引进培育一批精于园区管理、资源集成、公共服务的专业运行管理团队，推进生活配套、商务服务、技术支撑共建共享，基本实现小微企业园生产、生活、生态“三生融合”。</w:t>
      </w:r>
    </w:p>
    <w:p w:rsidR="00E50526" w:rsidRDefault="00E50526" w:rsidP="00BE1536">
      <w:pPr>
        <w:overflowPunct w:val="0"/>
        <w:adjustRightInd w:val="0"/>
        <w:snapToGrid w:val="0"/>
        <w:spacing w:line="580" w:lineRule="exact"/>
        <w:ind w:firstLineChars="200" w:firstLine="640"/>
        <w:rPr>
          <w:rFonts w:eastAsia="黑体"/>
          <w:sz w:val="32"/>
          <w:szCs w:val="32"/>
        </w:rPr>
      </w:pPr>
      <w:r>
        <w:rPr>
          <w:rFonts w:eastAsia="黑体" w:cs="黑体" w:hint="eastAsia"/>
          <w:sz w:val="32"/>
          <w:szCs w:val="32"/>
        </w:rPr>
        <w:t>二、重点任务</w:t>
      </w:r>
    </w:p>
    <w:p w:rsidR="00E50526" w:rsidRDefault="00E50526" w:rsidP="00BE1536">
      <w:pPr>
        <w:overflowPunct w:val="0"/>
        <w:adjustRightInd w:val="0"/>
        <w:snapToGrid w:val="0"/>
        <w:spacing w:line="580" w:lineRule="exact"/>
        <w:ind w:firstLineChars="200" w:firstLine="643"/>
        <w:rPr>
          <w:rFonts w:eastAsia="楷体_GB2312"/>
          <w:b/>
          <w:bCs/>
          <w:sz w:val="32"/>
          <w:szCs w:val="32"/>
        </w:rPr>
      </w:pPr>
      <w:r>
        <w:rPr>
          <w:rFonts w:eastAsia="楷体_GB2312" w:cs="楷体_GB2312" w:hint="eastAsia"/>
          <w:b/>
          <w:bCs/>
          <w:sz w:val="32"/>
          <w:szCs w:val="32"/>
        </w:rPr>
        <w:t>（一）高起点规划布局</w:t>
      </w:r>
    </w:p>
    <w:p w:rsidR="00E50526" w:rsidRDefault="00E50526" w:rsidP="00BE1536">
      <w:pPr>
        <w:overflowPunct w:val="0"/>
        <w:adjustRightInd w:val="0"/>
        <w:snapToGrid w:val="0"/>
        <w:spacing w:line="580" w:lineRule="exact"/>
        <w:ind w:firstLineChars="200" w:firstLine="640"/>
        <w:rPr>
          <w:rFonts w:eastAsia="仿宋"/>
          <w:sz w:val="32"/>
          <w:szCs w:val="32"/>
        </w:rPr>
      </w:pPr>
      <w:r>
        <w:rPr>
          <w:rFonts w:eastAsia="楷体_GB2312"/>
          <w:sz w:val="32"/>
          <w:szCs w:val="32"/>
        </w:rPr>
        <w:t>1.</w:t>
      </w:r>
      <w:r>
        <w:rPr>
          <w:rFonts w:eastAsia="楷体_GB2312" w:cs="楷体_GB2312" w:hint="eastAsia"/>
          <w:sz w:val="32"/>
          <w:szCs w:val="32"/>
        </w:rPr>
        <w:t>优化发展规划。</w:t>
      </w:r>
      <w:r>
        <w:rPr>
          <w:rFonts w:eastAsia="仿宋_GB2312" w:cs="仿宋_GB2312" w:hint="eastAsia"/>
          <w:sz w:val="32"/>
          <w:szCs w:val="32"/>
        </w:rPr>
        <w:t>统筹优化省级以上开发区、工业园区和小微企业园三大平台布局，通过在开发区或工业园区内采用“园中园”模式新建，以及利用符合条件的“三改一拆”整理土地、闲置厂房（旧厂区）、低效用地、成片标准厂房、老旧工业集聚点、楼宇等空间改造提升，对小微企业园进行重新规划布局。各区、县（市）及滨海新城要按照“因地制宜、合理布局、适度超前、配套齐全”原则，编制完成小微企业园建设发展规划（</w:t>
      </w:r>
      <w:r>
        <w:rPr>
          <w:rFonts w:eastAsia="仿宋_GB2312"/>
          <w:sz w:val="32"/>
          <w:szCs w:val="32"/>
        </w:rPr>
        <w:t>2019-2022</w:t>
      </w:r>
      <w:r>
        <w:rPr>
          <w:rFonts w:eastAsia="仿宋_GB2312" w:cs="仿宋_GB2312" w:hint="eastAsia"/>
          <w:sz w:val="32"/>
          <w:szCs w:val="32"/>
        </w:rPr>
        <w:t>年），明确总体规模、产业分布、建设开发模式、投资计划等内容，基本实现小微企业园在工业园区、高新区、开发区分布全覆盖。</w:t>
      </w:r>
      <w:r>
        <w:rPr>
          <w:rFonts w:eastAsia="楷体_GB2312" w:cs="楷体_GB2312" w:hint="eastAsia"/>
          <w:sz w:val="32"/>
          <w:szCs w:val="32"/>
        </w:rPr>
        <w:t>（责任单位：市自然资源和规划局，各区、县〔市〕人民政</w:t>
      </w:r>
      <w:r>
        <w:rPr>
          <w:rFonts w:eastAsia="楷体_GB2312" w:cs="楷体_GB2312" w:hint="eastAsia"/>
          <w:sz w:val="32"/>
          <w:szCs w:val="32"/>
        </w:rPr>
        <w:lastRenderedPageBreak/>
        <w:t>府、滨海新城管委会）</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t>2.</w:t>
      </w:r>
      <w:r>
        <w:rPr>
          <w:rFonts w:eastAsia="楷体_GB2312" w:cs="楷体_GB2312" w:hint="eastAsia"/>
          <w:sz w:val="32"/>
          <w:szCs w:val="32"/>
        </w:rPr>
        <w:t>明确建设要求。</w:t>
      </w:r>
      <w:r>
        <w:rPr>
          <w:rFonts w:eastAsia="仿宋_GB2312" w:cs="仿宋_GB2312" w:hint="eastAsia"/>
          <w:sz w:val="32"/>
          <w:szCs w:val="32"/>
        </w:rPr>
        <w:t>新建生产制造类小微企业园一般占地面积不少于</w:t>
      </w:r>
      <w:r>
        <w:rPr>
          <w:rFonts w:eastAsia="仿宋_GB2312"/>
          <w:sz w:val="32"/>
          <w:szCs w:val="32"/>
        </w:rPr>
        <w:t>100</w:t>
      </w:r>
      <w:r>
        <w:rPr>
          <w:rFonts w:eastAsia="仿宋_GB2312" w:cs="仿宋_GB2312" w:hint="eastAsia"/>
          <w:sz w:val="32"/>
          <w:szCs w:val="32"/>
        </w:rPr>
        <w:t>亩或建筑面积不少于</w:t>
      </w:r>
      <w:r>
        <w:rPr>
          <w:rFonts w:eastAsia="仿宋_GB2312"/>
          <w:sz w:val="32"/>
          <w:szCs w:val="32"/>
        </w:rPr>
        <w:t>10</w:t>
      </w:r>
      <w:r>
        <w:rPr>
          <w:rFonts w:eastAsia="仿宋_GB2312" w:cs="仿宋_GB2312" w:hint="eastAsia"/>
          <w:sz w:val="32"/>
          <w:szCs w:val="32"/>
        </w:rPr>
        <w:t>万平方米。土地容积率、建筑密度等指标按省规定执行，鼓励提高用地容积率和建筑高度，建设“垂直工厂”和“空中园区”。改造提升类小微企业园应根据产业特色明确不同建设要求，以生产制造类为主的园区建筑总面积应在</w:t>
      </w:r>
      <w:r>
        <w:rPr>
          <w:rFonts w:eastAsia="仿宋_GB2312"/>
          <w:sz w:val="32"/>
          <w:szCs w:val="32"/>
        </w:rPr>
        <w:t>2</w:t>
      </w:r>
      <w:r>
        <w:rPr>
          <w:rFonts w:eastAsia="仿宋_GB2312" w:cs="仿宋_GB2312" w:hint="eastAsia"/>
          <w:sz w:val="32"/>
          <w:szCs w:val="32"/>
        </w:rPr>
        <w:t>万平方米以上，以生产服务类为主的园区应在</w:t>
      </w:r>
      <w:r>
        <w:rPr>
          <w:rFonts w:eastAsia="仿宋_GB2312"/>
          <w:sz w:val="32"/>
          <w:szCs w:val="32"/>
        </w:rPr>
        <w:t>1</w:t>
      </w:r>
      <w:r>
        <w:rPr>
          <w:rFonts w:eastAsia="仿宋_GB2312" w:cs="仿宋_GB2312" w:hint="eastAsia"/>
          <w:sz w:val="32"/>
          <w:szCs w:val="32"/>
        </w:rPr>
        <w:t>万平方米以上，入园企业不少于</w:t>
      </w:r>
      <w:r>
        <w:rPr>
          <w:rFonts w:eastAsia="仿宋_GB2312"/>
          <w:sz w:val="32"/>
          <w:szCs w:val="32"/>
        </w:rPr>
        <w:t>20</w:t>
      </w:r>
      <w:r>
        <w:rPr>
          <w:rFonts w:eastAsia="仿宋_GB2312" w:cs="仿宋_GB2312" w:hint="eastAsia"/>
          <w:sz w:val="32"/>
          <w:szCs w:val="32"/>
        </w:rPr>
        <w:t>家。各区、县（市）和滨海新城新批小微企业园要及时报备市促进中小微企业发展领导小组办公室。</w:t>
      </w:r>
      <w:r>
        <w:rPr>
          <w:rFonts w:eastAsia="楷体_GB2312" w:cs="楷体_GB2312" w:hint="eastAsia"/>
          <w:sz w:val="32"/>
          <w:szCs w:val="32"/>
        </w:rPr>
        <w:t>（责任单位：市经信局、市自然资源和规划局，各区、县〔市〕人民政府、滨海新城管委会）</w:t>
      </w:r>
    </w:p>
    <w:p w:rsidR="00E50526" w:rsidRDefault="00E50526" w:rsidP="00BE1536">
      <w:pPr>
        <w:overflowPunct w:val="0"/>
        <w:adjustRightInd w:val="0"/>
        <w:snapToGrid w:val="0"/>
        <w:spacing w:line="580" w:lineRule="exact"/>
        <w:ind w:firstLineChars="200" w:firstLine="640"/>
        <w:rPr>
          <w:rFonts w:eastAsia="仿宋"/>
          <w:sz w:val="32"/>
          <w:szCs w:val="32"/>
        </w:rPr>
      </w:pPr>
      <w:r>
        <w:rPr>
          <w:rFonts w:eastAsia="楷体_GB2312"/>
          <w:sz w:val="32"/>
          <w:szCs w:val="32"/>
        </w:rPr>
        <w:t>3.</w:t>
      </w:r>
      <w:r>
        <w:rPr>
          <w:rFonts w:eastAsia="楷体_GB2312" w:cs="楷体_GB2312" w:hint="eastAsia"/>
          <w:sz w:val="32"/>
          <w:szCs w:val="32"/>
        </w:rPr>
        <w:t>推进对标整治。</w:t>
      </w:r>
      <w:r>
        <w:rPr>
          <w:rFonts w:eastAsia="仿宋_GB2312" w:cs="仿宋_GB2312" w:hint="eastAsia"/>
          <w:sz w:val="32"/>
          <w:szCs w:val="32"/>
        </w:rPr>
        <w:t>各地要因地制宜，高标准制订小微企业园入园标准，明确建设规范、行业整治、项目准入、消防安全、安全环保、设施配套、环境面貌等标准要求。对老旧工业集聚点联合开展安全隐患、无证无照、违法建筑、涉污涉险、落后产能淘汰等对标整治行动，实行规范提升。探索实行小微企业园“标准地”制度，细化投资强度、土地产出、土地税收等指标，提高准入门槛。</w:t>
      </w:r>
      <w:r>
        <w:rPr>
          <w:rFonts w:eastAsia="楷体_GB2312" w:cs="楷体_GB2312" w:hint="eastAsia"/>
          <w:sz w:val="32"/>
          <w:szCs w:val="32"/>
        </w:rPr>
        <w:t>（责任单位：市经信局、市自然资源与规划局、市生态环境局、市建设局、市卫生健康委、市应急管理局、市市场监管局、市综合执法局、消防绍兴市支队，各区、县〔市〕人民政府、滨海新城管委会）</w:t>
      </w:r>
    </w:p>
    <w:p w:rsidR="00E50526" w:rsidRDefault="00E50526" w:rsidP="00BE1536">
      <w:pPr>
        <w:overflowPunct w:val="0"/>
        <w:adjustRightInd w:val="0"/>
        <w:snapToGrid w:val="0"/>
        <w:spacing w:line="580" w:lineRule="exact"/>
        <w:ind w:firstLineChars="200" w:firstLine="643"/>
        <w:rPr>
          <w:rFonts w:eastAsia="楷体_GB2312"/>
          <w:b/>
          <w:bCs/>
          <w:sz w:val="32"/>
          <w:szCs w:val="32"/>
        </w:rPr>
      </w:pPr>
      <w:r>
        <w:rPr>
          <w:rFonts w:eastAsia="楷体_GB2312" w:cs="楷体_GB2312" w:hint="eastAsia"/>
          <w:b/>
          <w:bCs/>
          <w:sz w:val="32"/>
          <w:szCs w:val="32"/>
        </w:rPr>
        <w:t>（二）高标准开发建设</w:t>
      </w:r>
    </w:p>
    <w:p w:rsidR="00E50526" w:rsidRDefault="00E50526" w:rsidP="00BE1536">
      <w:pPr>
        <w:overflowPunct w:val="0"/>
        <w:adjustRightInd w:val="0"/>
        <w:snapToGrid w:val="0"/>
        <w:spacing w:line="580" w:lineRule="exact"/>
        <w:ind w:firstLineChars="200" w:firstLine="640"/>
        <w:rPr>
          <w:rFonts w:eastAsia="仿宋"/>
          <w:sz w:val="32"/>
          <w:szCs w:val="32"/>
        </w:rPr>
      </w:pPr>
      <w:r>
        <w:rPr>
          <w:rFonts w:eastAsia="楷体_GB2312"/>
          <w:sz w:val="32"/>
          <w:szCs w:val="32"/>
        </w:rPr>
        <w:lastRenderedPageBreak/>
        <w:t>4.</w:t>
      </w:r>
      <w:r>
        <w:rPr>
          <w:rFonts w:eastAsia="楷体_GB2312" w:cs="楷体_GB2312" w:hint="eastAsia"/>
          <w:sz w:val="32"/>
          <w:szCs w:val="32"/>
        </w:rPr>
        <w:t>鼓励多元开发。</w:t>
      </w:r>
      <w:r>
        <w:rPr>
          <w:rFonts w:eastAsia="仿宋_GB2312" w:cs="仿宋_GB2312" w:hint="eastAsia"/>
          <w:sz w:val="32"/>
          <w:szCs w:val="32"/>
        </w:rPr>
        <w:t>突出小微企业园准公共属性，鼓励以政府开发为主导，龙头企业开发、企业联合开发、专业机构开发、村集体联合开发等模式为补充推进建设。鼓励跨区域合作，采用“飞地”模式建设小微企业园。</w:t>
      </w:r>
      <w:r>
        <w:rPr>
          <w:rFonts w:eastAsia="楷体_GB2312" w:cs="楷体_GB2312" w:hint="eastAsia"/>
          <w:sz w:val="32"/>
          <w:szCs w:val="32"/>
        </w:rPr>
        <w:t>（责任单位：市经信局、市建设局，各区、县〔市〕人民政府、滨海新城管委会）</w:t>
      </w:r>
    </w:p>
    <w:p w:rsidR="00E50526" w:rsidRDefault="00E50526" w:rsidP="00BE1536">
      <w:pPr>
        <w:overflowPunct w:val="0"/>
        <w:adjustRightInd w:val="0"/>
        <w:snapToGrid w:val="0"/>
        <w:spacing w:line="580" w:lineRule="exact"/>
        <w:ind w:firstLineChars="200" w:firstLine="640"/>
        <w:rPr>
          <w:rFonts w:eastAsia="仿宋"/>
          <w:sz w:val="32"/>
          <w:szCs w:val="32"/>
        </w:rPr>
      </w:pPr>
      <w:r>
        <w:rPr>
          <w:rFonts w:eastAsia="楷体_GB2312"/>
          <w:sz w:val="32"/>
          <w:szCs w:val="32"/>
        </w:rPr>
        <w:t>5.</w:t>
      </w:r>
      <w:r>
        <w:rPr>
          <w:rFonts w:eastAsia="楷体_GB2312" w:cs="楷体_GB2312" w:hint="eastAsia"/>
          <w:sz w:val="32"/>
          <w:szCs w:val="32"/>
        </w:rPr>
        <w:t>加强整体开发。</w:t>
      </w:r>
      <w:r>
        <w:rPr>
          <w:rFonts w:eastAsia="仿宋_GB2312" w:cs="仿宋_GB2312" w:hint="eastAsia"/>
          <w:color w:val="000000"/>
          <w:sz w:val="32"/>
          <w:szCs w:val="32"/>
        </w:rPr>
        <w:t>综合考虑园区定位、企业规模和行业特点等因素，加强小微企业园总体设计，注重统一建筑风格特色。</w:t>
      </w:r>
      <w:r>
        <w:rPr>
          <w:rFonts w:eastAsia="仿宋_GB2312" w:cs="仿宋_GB2312" w:hint="eastAsia"/>
          <w:sz w:val="32"/>
          <w:szCs w:val="32"/>
        </w:rPr>
        <w:t>根据主导产业和企业实际需求建设厂房，推进基础设施建设，同时配备一定的生活服务、技术平台等共享配套用房。原则上新建类园区配套用房比例不低于总建筑面积的</w:t>
      </w:r>
      <w:r>
        <w:rPr>
          <w:rFonts w:eastAsia="仿宋_GB2312"/>
          <w:sz w:val="32"/>
          <w:szCs w:val="32"/>
        </w:rPr>
        <w:t>8%</w:t>
      </w:r>
      <w:r>
        <w:rPr>
          <w:rFonts w:eastAsia="仿宋_GB2312" w:cs="仿宋_GB2312" w:hint="eastAsia"/>
          <w:sz w:val="32"/>
          <w:szCs w:val="32"/>
        </w:rPr>
        <w:t>，改造提升类园区不低于</w:t>
      </w:r>
      <w:r>
        <w:rPr>
          <w:rFonts w:eastAsia="仿宋_GB2312"/>
          <w:sz w:val="32"/>
          <w:szCs w:val="32"/>
        </w:rPr>
        <w:t>5%</w:t>
      </w:r>
      <w:r>
        <w:rPr>
          <w:rFonts w:eastAsia="仿宋_GB2312" w:cs="仿宋_GB2312" w:hint="eastAsia"/>
          <w:sz w:val="32"/>
          <w:szCs w:val="32"/>
        </w:rPr>
        <w:t>，但须符合工业建设项目用地控制指标规定，且不得单独分割转让。</w:t>
      </w:r>
      <w:r>
        <w:rPr>
          <w:rFonts w:eastAsia="楷体_GB2312" w:cs="楷体_GB2312" w:hint="eastAsia"/>
          <w:sz w:val="32"/>
          <w:szCs w:val="32"/>
        </w:rPr>
        <w:t>（责任单位：市自然资源与规划局、市建设局，各区、县〔市〕人民政府、滨海新城管委会）</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t>6.</w:t>
      </w:r>
      <w:r>
        <w:rPr>
          <w:rFonts w:eastAsia="楷体_GB2312" w:cs="楷体_GB2312" w:hint="eastAsia"/>
          <w:sz w:val="32"/>
          <w:szCs w:val="32"/>
        </w:rPr>
        <w:t>规范租售管理。</w:t>
      </w:r>
      <w:r>
        <w:rPr>
          <w:rFonts w:eastAsia="仿宋_GB2312" w:cs="仿宋_GB2312" w:hint="eastAsia"/>
          <w:sz w:val="32"/>
          <w:szCs w:val="32"/>
        </w:rPr>
        <w:t>新建类小微企业园分割出售比例不得超过总用地面积的</w:t>
      </w:r>
      <w:r>
        <w:rPr>
          <w:rFonts w:eastAsia="仿宋_GB2312"/>
          <w:sz w:val="32"/>
          <w:szCs w:val="32"/>
        </w:rPr>
        <w:t>70%</w:t>
      </w:r>
      <w:r>
        <w:rPr>
          <w:rFonts w:eastAsia="仿宋_GB2312" w:cs="仿宋_GB2312" w:hint="eastAsia"/>
          <w:sz w:val="32"/>
          <w:szCs w:val="32"/>
        </w:rPr>
        <w:t>，且最小分割面积不得低于</w:t>
      </w:r>
      <w:r>
        <w:rPr>
          <w:rFonts w:eastAsia="仿宋_GB2312"/>
          <w:sz w:val="32"/>
          <w:szCs w:val="32"/>
        </w:rPr>
        <w:t>1000</w:t>
      </w:r>
      <w:r>
        <w:rPr>
          <w:rFonts w:eastAsia="仿宋_GB2312" w:cs="仿宋_GB2312" w:hint="eastAsia"/>
          <w:sz w:val="32"/>
          <w:szCs w:val="32"/>
        </w:rPr>
        <w:t>平方米。入园企业购置或租用厂房、非生产性用房及配套宿舍应当自用，未按土地使用权出让合同规定的期限和条件投资开发、利用土地的，不得转让或出租。各地要积极采取措施严控厂房转让、转租，制定分行业厂房出售指导价，明确入园企业土地转让条件，从源头上控制企业投资成本。</w:t>
      </w:r>
      <w:r>
        <w:rPr>
          <w:rFonts w:eastAsia="楷体_GB2312" w:cs="楷体_GB2312" w:hint="eastAsia"/>
          <w:sz w:val="32"/>
          <w:szCs w:val="32"/>
        </w:rPr>
        <w:t>（责任单位：市自然资源与规划局、市建设局，各区、县〔市〕人民政府、滨海新城管委会）</w:t>
      </w:r>
    </w:p>
    <w:p w:rsidR="00E50526" w:rsidRDefault="00E50526" w:rsidP="00BE1536">
      <w:pPr>
        <w:overflowPunct w:val="0"/>
        <w:adjustRightInd w:val="0"/>
        <w:snapToGrid w:val="0"/>
        <w:spacing w:line="580" w:lineRule="exact"/>
        <w:ind w:firstLineChars="200" w:firstLine="643"/>
        <w:rPr>
          <w:rFonts w:eastAsia="楷体_GB2312"/>
          <w:b/>
          <w:bCs/>
          <w:sz w:val="32"/>
          <w:szCs w:val="32"/>
        </w:rPr>
      </w:pPr>
      <w:r>
        <w:rPr>
          <w:rFonts w:eastAsia="楷体_GB2312" w:cs="楷体_GB2312" w:hint="eastAsia"/>
          <w:b/>
          <w:bCs/>
          <w:sz w:val="32"/>
          <w:szCs w:val="32"/>
        </w:rPr>
        <w:t>（三）高质量集聚发展</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lastRenderedPageBreak/>
        <w:t>7.</w:t>
      </w:r>
      <w:r>
        <w:rPr>
          <w:rFonts w:eastAsia="楷体_GB2312" w:cs="楷体_GB2312" w:hint="eastAsia"/>
          <w:sz w:val="32"/>
          <w:szCs w:val="32"/>
        </w:rPr>
        <w:t>强化入园把关。</w:t>
      </w:r>
      <w:r>
        <w:rPr>
          <w:rFonts w:eastAsia="仿宋_GB2312" w:cs="仿宋_GB2312" w:hint="eastAsia"/>
          <w:sz w:val="32"/>
          <w:szCs w:val="32"/>
        </w:rPr>
        <w:t>对厂房设备投资</w:t>
      </w:r>
      <w:r>
        <w:rPr>
          <w:rFonts w:eastAsia="仿宋_GB2312"/>
          <w:sz w:val="32"/>
          <w:szCs w:val="32"/>
        </w:rPr>
        <w:t>5000</w:t>
      </w:r>
      <w:r>
        <w:rPr>
          <w:rFonts w:eastAsia="仿宋_GB2312" w:cs="仿宋_GB2312" w:hint="eastAsia"/>
          <w:sz w:val="32"/>
          <w:szCs w:val="32"/>
        </w:rPr>
        <w:t>万元以下或用地规模小于</w:t>
      </w:r>
      <w:r>
        <w:rPr>
          <w:rFonts w:eastAsia="仿宋_GB2312"/>
          <w:color w:val="000000"/>
          <w:sz w:val="32"/>
          <w:szCs w:val="32"/>
        </w:rPr>
        <w:t>20</w:t>
      </w:r>
      <w:r>
        <w:rPr>
          <w:rFonts w:eastAsia="仿宋_GB2312" w:cs="仿宋_GB2312" w:hint="eastAsia"/>
          <w:color w:val="000000"/>
          <w:sz w:val="32"/>
          <w:szCs w:val="32"/>
        </w:rPr>
        <w:t>亩</w:t>
      </w:r>
      <w:r>
        <w:rPr>
          <w:rFonts w:eastAsia="仿宋_GB2312" w:cs="仿宋_GB2312" w:hint="eastAsia"/>
          <w:sz w:val="32"/>
          <w:szCs w:val="32"/>
        </w:rPr>
        <w:t>的工业投资项目，原则上不再单独供地，引导入园发展，各地可根据实际从高确定标准。优先支持战略新兴产业及特色优势产业上下游企业入园集聚发展，鼓励低消耗、低排放、高附加值、高成长性项目和“专精特新”、科技型、创新型企业入园。严格企业入园门槛，制定准入条件，依法严审能耗、安全生产、环境保护等事项，严禁未经改造的低效企业入园集聚。</w:t>
      </w:r>
      <w:r>
        <w:rPr>
          <w:rFonts w:eastAsia="楷体_GB2312" w:cs="楷体_GB2312" w:hint="eastAsia"/>
          <w:sz w:val="32"/>
          <w:szCs w:val="32"/>
        </w:rPr>
        <w:t>（责任单位：市经信局、市生态环境局、市应急管理局、市市场监督管理局，各区、县〔市〕人民政府、滨海新城管委会）</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t>8.</w:t>
      </w:r>
      <w:r>
        <w:rPr>
          <w:rFonts w:eastAsia="楷体_GB2312" w:cs="楷体_GB2312" w:hint="eastAsia"/>
          <w:sz w:val="32"/>
          <w:szCs w:val="32"/>
        </w:rPr>
        <w:t>打造产业特色。</w:t>
      </w:r>
      <w:r>
        <w:rPr>
          <w:rFonts w:eastAsia="仿宋_GB2312" w:cs="仿宋_GB2312" w:hint="eastAsia"/>
          <w:sz w:val="32"/>
          <w:szCs w:val="32"/>
        </w:rPr>
        <w:t>围绕“</w:t>
      </w:r>
      <w:r>
        <w:rPr>
          <w:rFonts w:eastAsia="仿宋_GB2312"/>
          <w:sz w:val="32"/>
          <w:szCs w:val="32"/>
        </w:rPr>
        <w:t>3+2+4</w:t>
      </w:r>
      <w:r>
        <w:rPr>
          <w:rFonts w:eastAsia="仿宋_GB2312" w:cs="仿宋_GB2312" w:hint="eastAsia"/>
          <w:sz w:val="32"/>
          <w:szCs w:val="32"/>
        </w:rPr>
        <w:t>”产业体系，明确园区发展定位，加大招商引资力度，推进主导产业建链强链补链，每个小微企业园重点培育</w:t>
      </w:r>
      <w:r>
        <w:rPr>
          <w:rFonts w:eastAsia="仿宋_GB2312"/>
          <w:sz w:val="32"/>
          <w:szCs w:val="32"/>
        </w:rPr>
        <w:t>2-3</w:t>
      </w:r>
      <w:r>
        <w:rPr>
          <w:rFonts w:eastAsia="仿宋_GB2312" w:cs="仿宋_GB2312" w:hint="eastAsia"/>
          <w:sz w:val="32"/>
          <w:szCs w:val="32"/>
        </w:rPr>
        <w:t>个主导产业。突出产业特色，积极打造“一园一品”，扎实推进时尚纺织、现代医药、机械装备、袜业伞艺等制造类小微企业园，大力发展信息经济、创意设计、现代金融等服务类小微企业园，确保主导产业及关联产业规模占园区总量比重不低于</w:t>
      </w:r>
      <w:r>
        <w:rPr>
          <w:rFonts w:eastAsia="仿宋_GB2312"/>
          <w:sz w:val="32"/>
          <w:szCs w:val="32"/>
        </w:rPr>
        <w:t>50%</w:t>
      </w:r>
      <w:r>
        <w:rPr>
          <w:rFonts w:eastAsia="仿宋_GB2312" w:cs="仿宋_GB2312" w:hint="eastAsia"/>
          <w:sz w:val="32"/>
          <w:szCs w:val="32"/>
        </w:rPr>
        <w:t>，其中新建类园区比重不低于</w:t>
      </w:r>
      <w:r>
        <w:rPr>
          <w:rFonts w:eastAsia="仿宋_GB2312"/>
          <w:sz w:val="32"/>
          <w:szCs w:val="32"/>
        </w:rPr>
        <w:t>70%</w:t>
      </w:r>
      <w:r>
        <w:rPr>
          <w:rFonts w:eastAsia="仿宋_GB2312" w:cs="仿宋_GB2312" w:hint="eastAsia"/>
          <w:sz w:val="32"/>
          <w:szCs w:val="32"/>
        </w:rPr>
        <w:t>，实现差异化发展。</w:t>
      </w:r>
      <w:r>
        <w:rPr>
          <w:rFonts w:eastAsia="楷体_GB2312" w:cs="楷体_GB2312" w:hint="eastAsia"/>
          <w:sz w:val="32"/>
          <w:szCs w:val="32"/>
        </w:rPr>
        <w:t>（责任单位：市经信局，各区、县〔市〕人民政府、滨海新城管委会）</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t>9.</w:t>
      </w:r>
      <w:r>
        <w:rPr>
          <w:rFonts w:eastAsia="楷体_GB2312" w:cs="楷体_GB2312" w:hint="eastAsia"/>
          <w:sz w:val="32"/>
          <w:szCs w:val="32"/>
        </w:rPr>
        <w:t>加强企业培育。</w:t>
      </w:r>
      <w:r>
        <w:rPr>
          <w:rFonts w:eastAsia="仿宋_GB2312" w:cs="仿宋_GB2312" w:hint="eastAsia"/>
          <w:sz w:val="32"/>
          <w:szCs w:val="32"/>
        </w:rPr>
        <w:t>强化创新驱动，加强入园企业梯队培育，实施“个转企、小升规、规改股、股上市”企业梯度培育计划，推动小微企业“专精特新”发展，着力培育一批“隐形冠军”、“单打冠军”。扎实推进智能化改造三年行动、企业上云计划、</w:t>
      </w:r>
      <w:r>
        <w:rPr>
          <w:rFonts w:eastAsia="仿宋_GB2312" w:cs="仿宋_GB2312" w:hint="eastAsia"/>
          <w:sz w:val="32"/>
          <w:szCs w:val="32"/>
        </w:rPr>
        <w:lastRenderedPageBreak/>
        <w:t>管理创新诊断行动，探索建设“小微企业园行业云”。力争到</w:t>
      </w:r>
      <w:r>
        <w:rPr>
          <w:rFonts w:eastAsia="仿宋_GB2312"/>
          <w:sz w:val="32"/>
          <w:szCs w:val="32"/>
        </w:rPr>
        <w:t>2022</w:t>
      </w:r>
      <w:r>
        <w:rPr>
          <w:rFonts w:eastAsia="仿宋_GB2312" w:cs="仿宋_GB2312" w:hint="eastAsia"/>
          <w:sz w:val="32"/>
          <w:szCs w:val="32"/>
        </w:rPr>
        <w:t>年，小微企业园规上企业占比达到</w:t>
      </w:r>
      <w:r>
        <w:rPr>
          <w:rFonts w:eastAsia="仿宋_GB2312"/>
          <w:sz w:val="32"/>
          <w:szCs w:val="32"/>
        </w:rPr>
        <w:t>10%</w:t>
      </w:r>
      <w:r>
        <w:rPr>
          <w:rFonts w:eastAsia="仿宋_GB2312" w:cs="仿宋_GB2312" w:hint="eastAsia"/>
          <w:sz w:val="32"/>
          <w:szCs w:val="32"/>
        </w:rPr>
        <w:t>左右。（</w:t>
      </w:r>
      <w:r>
        <w:rPr>
          <w:rFonts w:eastAsia="楷体_GB2312" w:cs="楷体_GB2312" w:hint="eastAsia"/>
          <w:sz w:val="32"/>
          <w:szCs w:val="32"/>
        </w:rPr>
        <w:t>责任单位：市经信局、市科技局、市市场监督管理局）</w:t>
      </w:r>
    </w:p>
    <w:p w:rsidR="00E50526" w:rsidRDefault="00E50526" w:rsidP="00BE1536">
      <w:pPr>
        <w:overflowPunct w:val="0"/>
        <w:adjustRightInd w:val="0"/>
        <w:snapToGrid w:val="0"/>
        <w:spacing w:line="580" w:lineRule="exact"/>
        <w:ind w:firstLineChars="200" w:firstLine="643"/>
        <w:rPr>
          <w:rFonts w:eastAsia="楷体_GB2312"/>
          <w:b/>
          <w:bCs/>
          <w:sz w:val="32"/>
          <w:szCs w:val="32"/>
        </w:rPr>
      </w:pPr>
      <w:r>
        <w:rPr>
          <w:rFonts w:eastAsia="楷体_GB2312" w:cs="楷体_GB2312" w:hint="eastAsia"/>
          <w:b/>
          <w:bCs/>
          <w:sz w:val="32"/>
          <w:szCs w:val="32"/>
        </w:rPr>
        <w:t>（四）高水平运行管理</w:t>
      </w:r>
    </w:p>
    <w:p w:rsidR="00E50526" w:rsidRPr="00F23CEE" w:rsidRDefault="00E50526" w:rsidP="00BE1536">
      <w:pPr>
        <w:overflowPunct w:val="0"/>
        <w:adjustRightInd w:val="0"/>
        <w:snapToGrid w:val="0"/>
        <w:spacing w:line="580" w:lineRule="exact"/>
        <w:ind w:firstLineChars="200" w:firstLine="640"/>
        <w:rPr>
          <w:rFonts w:eastAsia="仿宋_GB2312"/>
          <w:sz w:val="32"/>
          <w:szCs w:val="32"/>
        </w:rPr>
      </w:pPr>
      <w:r>
        <w:rPr>
          <w:rFonts w:eastAsia="楷体_GB2312"/>
          <w:sz w:val="32"/>
          <w:szCs w:val="32"/>
        </w:rPr>
        <w:t>10.</w:t>
      </w:r>
      <w:r>
        <w:rPr>
          <w:rFonts w:eastAsia="楷体_GB2312" w:cs="楷体_GB2312" w:hint="eastAsia"/>
          <w:sz w:val="32"/>
          <w:szCs w:val="32"/>
        </w:rPr>
        <w:t>规范运行管理。</w:t>
      </w:r>
      <w:r>
        <w:rPr>
          <w:rFonts w:eastAsia="仿宋_GB2312" w:cs="仿宋_GB2312" w:hint="eastAsia"/>
          <w:sz w:val="32"/>
          <w:szCs w:val="32"/>
        </w:rPr>
        <w:t>坚持政府引导、市场运作的运行管理模式，通过政府主管、委托管理、专业机构运营、龙头企业管理等方式，推行小微企业园专业化物业管理，按照品牌形象、商贸物流、市场拓展、生活设施、技术支持“五统一”要求，为入园企业提供一站式服务，提升规范化、专业化管理服务。</w:t>
      </w:r>
      <w:r w:rsidRPr="00BE1536">
        <w:rPr>
          <w:rFonts w:eastAsia="仿宋_GB2312" w:cs="仿宋_GB2312" w:hint="eastAsia"/>
          <w:bCs/>
          <w:sz w:val="32"/>
          <w:szCs w:val="32"/>
        </w:rPr>
        <w:t>同步推进小微企业园党建工作。</w:t>
      </w:r>
      <w:r w:rsidRPr="00BE1536">
        <w:rPr>
          <w:rFonts w:eastAsia="楷体_GB2312" w:cs="楷体_GB2312" w:hint="eastAsia"/>
          <w:sz w:val="32"/>
          <w:szCs w:val="32"/>
        </w:rPr>
        <w:t>（</w:t>
      </w:r>
      <w:r>
        <w:rPr>
          <w:rFonts w:eastAsia="楷体_GB2312" w:cs="楷体_GB2312" w:hint="eastAsia"/>
          <w:sz w:val="32"/>
          <w:szCs w:val="32"/>
        </w:rPr>
        <w:t>责任单位：市经信局、</w:t>
      </w:r>
      <w:r w:rsidRPr="00BE1536">
        <w:rPr>
          <w:rFonts w:eastAsia="楷体_GB2312" w:cs="楷体_GB2312" w:hint="eastAsia"/>
          <w:bCs/>
          <w:sz w:val="32"/>
          <w:szCs w:val="32"/>
        </w:rPr>
        <w:t>市委两新工委</w:t>
      </w:r>
      <w:r w:rsidRPr="00BE1536">
        <w:rPr>
          <w:rFonts w:eastAsia="楷体_GB2312" w:cs="楷体_GB2312" w:hint="eastAsia"/>
          <w:sz w:val="32"/>
          <w:szCs w:val="32"/>
        </w:rPr>
        <w:t>，</w:t>
      </w:r>
      <w:r>
        <w:rPr>
          <w:rFonts w:eastAsia="楷体_GB2312" w:cs="楷体_GB2312" w:hint="eastAsia"/>
          <w:sz w:val="32"/>
          <w:szCs w:val="32"/>
        </w:rPr>
        <w:t>各区、县〔市〕人民政府、滨海新城管委会）</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t>11.</w:t>
      </w:r>
      <w:r>
        <w:rPr>
          <w:rFonts w:eastAsia="楷体_GB2312" w:cs="楷体_GB2312" w:hint="eastAsia"/>
          <w:sz w:val="32"/>
          <w:szCs w:val="32"/>
        </w:rPr>
        <w:t>提升公共服务。</w:t>
      </w:r>
      <w:r>
        <w:rPr>
          <w:rFonts w:eastAsia="仿宋_GB2312" w:cs="仿宋_GB2312" w:hint="eastAsia"/>
          <w:sz w:val="32"/>
          <w:szCs w:val="32"/>
        </w:rPr>
        <w:t>推进园区信息化管理，建立小微企业园电子地图和信息管理系统，探索推广应用园区智慧管理平台，实时采集园内人流、物流、能耗、环保、产能、消防、安全等数据，加强园区数字化建设，提高管理效率。推动市涉企综合服务平台向园区延伸覆盖，深化“平台</w:t>
      </w:r>
      <w:r>
        <w:rPr>
          <w:rFonts w:eastAsia="仿宋_GB2312"/>
          <w:sz w:val="32"/>
          <w:szCs w:val="32"/>
        </w:rPr>
        <w:t>+</w:t>
      </w:r>
      <w:r>
        <w:rPr>
          <w:rFonts w:eastAsia="仿宋_GB2312" w:cs="仿宋_GB2312" w:hint="eastAsia"/>
          <w:sz w:val="32"/>
          <w:szCs w:val="32"/>
        </w:rPr>
        <w:t>园区”服务模式，清单式服务入园企业，每年开展公共服务活动</w:t>
      </w:r>
      <w:r>
        <w:rPr>
          <w:rFonts w:eastAsia="仿宋_GB2312"/>
          <w:sz w:val="32"/>
          <w:szCs w:val="32"/>
        </w:rPr>
        <w:t>100</w:t>
      </w:r>
      <w:r>
        <w:rPr>
          <w:rFonts w:eastAsia="仿宋_GB2312" w:cs="仿宋_GB2312" w:hint="eastAsia"/>
          <w:sz w:val="32"/>
          <w:szCs w:val="32"/>
        </w:rPr>
        <w:t>场次以上。鼓励有条件的园区探索创建产业创新服务综合体，为入园企业提供全方位、立体式的技术服务。</w:t>
      </w:r>
      <w:r>
        <w:rPr>
          <w:rFonts w:eastAsia="楷体_GB2312" w:cs="楷体_GB2312" w:hint="eastAsia"/>
          <w:sz w:val="32"/>
          <w:szCs w:val="32"/>
        </w:rPr>
        <w:t>（责任单位：市经信局、市科技局、绍兴电力局，各区、县〔市〕人民政府、滨海新城管委会）</w:t>
      </w:r>
    </w:p>
    <w:p w:rsidR="00E50526" w:rsidRDefault="00E50526" w:rsidP="00BE1536">
      <w:pPr>
        <w:overflowPunct w:val="0"/>
        <w:adjustRightInd w:val="0"/>
        <w:snapToGrid w:val="0"/>
        <w:spacing w:line="580" w:lineRule="exact"/>
        <w:ind w:firstLineChars="196" w:firstLine="627"/>
        <w:rPr>
          <w:rFonts w:eastAsia="楷体_GB2312"/>
          <w:sz w:val="32"/>
          <w:szCs w:val="32"/>
        </w:rPr>
      </w:pPr>
      <w:r>
        <w:rPr>
          <w:rFonts w:eastAsia="楷体_GB2312"/>
          <w:sz w:val="32"/>
          <w:szCs w:val="32"/>
        </w:rPr>
        <w:t>12.</w:t>
      </w:r>
      <w:r>
        <w:rPr>
          <w:rFonts w:eastAsia="楷体_GB2312" w:cs="楷体_GB2312" w:hint="eastAsia"/>
          <w:sz w:val="32"/>
          <w:szCs w:val="32"/>
        </w:rPr>
        <w:t>开展绩效评价。</w:t>
      </w:r>
      <w:r>
        <w:rPr>
          <w:rFonts w:eastAsia="仿宋_GB2312" w:cs="仿宋_GB2312" w:hint="eastAsia"/>
          <w:sz w:val="32"/>
          <w:szCs w:val="32"/>
        </w:rPr>
        <w:t>以“亩均论英雄”改革为导向，对小微企业园开展绩效评价与星级评定。建立绩效考核激励约束机制，</w:t>
      </w:r>
      <w:r>
        <w:rPr>
          <w:rFonts w:eastAsia="仿宋_GB2312" w:cs="仿宋_GB2312" w:hint="eastAsia"/>
          <w:sz w:val="32"/>
          <w:szCs w:val="32"/>
        </w:rPr>
        <w:lastRenderedPageBreak/>
        <w:t>对评为四星、五星级的小微企业园，在要素指标分配方面给予倾斜，并推荐申报国家级小微企业创业创新示范基地；对亩均效益排名末档或者发生环保安全事故并造成较大影响的小微企业园取消奖补评优资格。加强小微企业园运行监测分析，完善备案登记、数据报送和定期通报制度，为开展绩效评价打好基础。</w:t>
      </w:r>
      <w:r>
        <w:rPr>
          <w:rFonts w:eastAsia="楷体_GB2312" w:cs="楷体_GB2312" w:hint="eastAsia"/>
          <w:sz w:val="32"/>
          <w:szCs w:val="32"/>
        </w:rPr>
        <w:t>（责任单位：市经信局、市统计局，各区、县〔市〕人民政府、滨海新城管委会）</w:t>
      </w:r>
    </w:p>
    <w:p w:rsidR="00E50526" w:rsidRDefault="00E50526" w:rsidP="00BE1536">
      <w:pPr>
        <w:overflowPunct w:val="0"/>
        <w:adjustRightInd w:val="0"/>
        <w:snapToGrid w:val="0"/>
        <w:spacing w:line="580" w:lineRule="exact"/>
        <w:ind w:firstLineChars="200" w:firstLine="643"/>
        <w:rPr>
          <w:rFonts w:eastAsia="楷体_GB2312"/>
          <w:b/>
          <w:bCs/>
          <w:sz w:val="32"/>
          <w:szCs w:val="32"/>
        </w:rPr>
      </w:pPr>
      <w:r>
        <w:rPr>
          <w:rFonts w:eastAsia="楷体_GB2312" w:cs="楷体_GB2312" w:hint="eastAsia"/>
          <w:b/>
          <w:bCs/>
          <w:sz w:val="32"/>
          <w:szCs w:val="32"/>
        </w:rPr>
        <w:t>（五）高效能机制服务</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t>13.</w:t>
      </w:r>
      <w:r>
        <w:rPr>
          <w:rFonts w:eastAsia="楷体_GB2312" w:cs="楷体_GB2312" w:hint="eastAsia"/>
          <w:sz w:val="32"/>
          <w:szCs w:val="32"/>
        </w:rPr>
        <w:t>推进简政放权。</w:t>
      </w:r>
      <w:r>
        <w:rPr>
          <w:rFonts w:eastAsia="仿宋_GB2312" w:cs="仿宋_GB2312" w:hint="eastAsia"/>
          <w:sz w:val="32"/>
          <w:szCs w:val="32"/>
        </w:rPr>
        <w:t>深化推进“最多跑一次”改革，行业指向明确、符合条件的新建工业小微企业园可归口工业固定资产投资项目进行审批；优化入园服务事项“一窗受理”流程，推行园区项目集中评价事前审批制度和“区域评价</w:t>
      </w:r>
      <w:r>
        <w:rPr>
          <w:rFonts w:eastAsia="仿宋_GB2312"/>
          <w:sz w:val="32"/>
          <w:szCs w:val="32"/>
        </w:rPr>
        <w:t>+</w:t>
      </w:r>
      <w:r>
        <w:rPr>
          <w:rFonts w:eastAsia="仿宋_GB2312" w:cs="仿宋_GB2312" w:hint="eastAsia"/>
          <w:sz w:val="32"/>
          <w:szCs w:val="32"/>
        </w:rPr>
        <w:t>准入标准”制度，对符合条件的项目和企业实行简易程序，提高审批效率。</w:t>
      </w:r>
      <w:r>
        <w:rPr>
          <w:rFonts w:eastAsia="楷体_GB2312" w:cs="楷体_GB2312" w:hint="eastAsia"/>
          <w:sz w:val="32"/>
          <w:szCs w:val="32"/>
        </w:rPr>
        <w:t>（责任单位：市发改委、市政务服务办公室、市自然资源与规划局）</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t>14.</w:t>
      </w:r>
      <w:r>
        <w:rPr>
          <w:rFonts w:eastAsia="楷体_GB2312" w:cs="楷体_GB2312" w:hint="eastAsia"/>
          <w:sz w:val="32"/>
          <w:szCs w:val="32"/>
        </w:rPr>
        <w:t>创新金融服务。</w:t>
      </w:r>
      <w:r>
        <w:rPr>
          <w:rFonts w:eastAsia="仿宋_GB2312" w:cs="仿宋_GB2312" w:hint="eastAsia"/>
          <w:sz w:val="32"/>
          <w:szCs w:val="32"/>
        </w:rPr>
        <w:t>引导金融机构参照工业项目或基础设施建设项目，通过差异化授信、厂房按揭贷款等方式，对小微企业园开发建设给予信贷支持。创新金融服务，支持设立小微企业园支行，鼓励园区运营机构或引入专业投资机构为入园企业提供股权融资、债券融资等多元金融服务，研究开发融资租赁、供应链金融、主体授信、科技金融、银税互动等金融产品，探索开展“银行</w:t>
      </w:r>
      <w:r>
        <w:rPr>
          <w:rFonts w:eastAsia="仿宋_GB2312"/>
          <w:sz w:val="32"/>
          <w:szCs w:val="32"/>
        </w:rPr>
        <w:t>+</w:t>
      </w:r>
      <w:r>
        <w:rPr>
          <w:rFonts w:eastAsia="仿宋_GB2312" w:cs="仿宋_GB2312" w:hint="eastAsia"/>
          <w:sz w:val="32"/>
          <w:szCs w:val="32"/>
        </w:rPr>
        <w:t>平台</w:t>
      </w:r>
      <w:r>
        <w:rPr>
          <w:rFonts w:eastAsia="仿宋_GB2312"/>
          <w:sz w:val="32"/>
          <w:szCs w:val="32"/>
        </w:rPr>
        <w:t>+</w:t>
      </w:r>
      <w:r>
        <w:rPr>
          <w:rFonts w:eastAsia="仿宋_GB2312" w:cs="仿宋_GB2312" w:hint="eastAsia"/>
          <w:sz w:val="32"/>
          <w:szCs w:val="32"/>
        </w:rPr>
        <w:t>担保</w:t>
      </w:r>
      <w:r>
        <w:rPr>
          <w:rFonts w:eastAsia="仿宋_GB2312"/>
          <w:sz w:val="32"/>
          <w:szCs w:val="32"/>
        </w:rPr>
        <w:t>+</w:t>
      </w:r>
      <w:r>
        <w:rPr>
          <w:rFonts w:eastAsia="仿宋_GB2312" w:cs="仿宋_GB2312" w:hint="eastAsia"/>
          <w:sz w:val="32"/>
          <w:szCs w:val="32"/>
        </w:rPr>
        <w:t>企业”的金融服务模式，着力降低融资成本。</w:t>
      </w:r>
      <w:r>
        <w:rPr>
          <w:rFonts w:eastAsia="楷体_GB2312" w:cs="楷体_GB2312" w:hint="eastAsia"/>
          <w:sz w:val="32"/>
          <w:szCs w:val="32"/>
        </w:rPr>
        <w:t>（责任单位：市金融办、人行绍兴市中心支行、绍兴银保监分局）</w:t>
      </w:r>
    </w:p>
    <w:p w:rsidR="00E50526" w:rsidRDefault="00E50526" w:rsidP="00BE1536">
      <w:pPr>
        <w:overflowPunct w:val="0"/>
        <w:adjustRightInd w:val="0"/>
        <w:snapToGrid w:val="0"/>
        <w:spacing w:line="580" w:lineRule="exact"/>
        <w:ind w:firstLineChars="200" w:firstLine="640"/>
        <w:rPr>
          <w:rFonts w:eastAsia="楷体_GB2312"/>
          <w:sz w:val="32"/>
          <w:szCs w:val="32"/>
        </w:rPr>
      </w:pPr>
      <w:r>
        <w:rPr>
          <w:rFonts w:eastAsia="楷体_GB2312"/>
          <w:sz w:val="32"/>
          <w:szCs w:val="32"/>
        </w:rPr>
        <w:lastRenderedPageBreak/>
        <w:t>15.</w:t>
      </w:r>
      <w:r>
        <w:rPr>
          <w:rFonts w:eastAsia="楷体_GB2312" w:cs="楷体_GB2312" w:hint="eastAsia"/>
          <w:sz w:val="32"/>
          <w:szCs w:val="32"/>
        </w:rPr>
        <w:t>加强政策扶持。</w:t>
      </w:r>
      <w:r>
        <w:rPr>
          <w:rFonts w:eastAsia="仿宋_GB2312" w:cs="仿宋_GB2312" w:hint="eastAsia"/>
          <w:sz w:val="32"/>
          <w:szCs w:val="32"/>
        </w:rPr>
        <w:t>加大小微企业园开发建设的财政扶持，对当年新评为国家级小微企业创业创新示范基地、省级四星级、五星级以及市级示范小微园区的开发建设主体和运行管理机构给予一定奖励，对入租企业给予租金支持。加强小微企业园建设用地保障，新增建设用地计划指标向小微企业园倾斜，鼓励利用腾退闲置土地以及低效建设用地进行二次开发。完善人才落户、住房、职称和子女教育等优惠政策，为小微企业营造良好引才环境。</w:t>
      </w:r>
      <w:r>
        <w:rPr>
          <w:rFonts w:eastAsia="楷体_GB2312" w:cs="楷体_GB2312" w:hint="eastAsia"/>
          <w:sz w:val="32"/>
          <w:szCs w:val="32"/>
        </w:rPr>
        <w:t>（责任单位：市委人才办、市经信局、市财政局、市自然资源与规划局）</w:t>
      </w:r>
    </w:p>
    <w:p w:rsidR="00E50526" w:rsidRDefault="00E50526" w:rsidP="00BE1536">
      <w:pPr>
        <w:overflowPunct w:val="0"/>
        <w:adjustRightInd w:val="0"/>
        <w:snapToGrid w:val="0"/>
        <w:spacing w:line="580" w:lineRule="exact"/>
        <w:ind w:firstLineChars="200" w:firstLine="640"/>
        <w:rPr>
          <w:rFonts w:eastAsia="黑体"/>
          <w:sz w:val="32"/>
          <w:szCs w:val="32"/>
        </w:rPr>
      </w:pPr>
      <w:r>
        <w:rPr>
          <w:rFonts w:eastAsia="黑体" w:cs="黑体" w:hint="eastAsia"/>
          <w:sz w:val="32"/>
          <w:szCs w:val="32"/>
        </w:rPr>
        <w:t>三、保障措施</w:t>
      </w:r>
    </w:p>
    <w:p w:rsidR="00E50526" w:rsidRDefault="00E50526" w:rsidP="00BE1536">
      <w:pPr>
        <w:overflowPunct w:val="0"/>
        <w:adjustRightInd w:val="0"/>
        <w:snapToGrid w:val="0"/>
        <w:spacing w:line="580" w:lineRule="exact"/>
        <w:ind w:firstLineChars="200" w:firstLine="643"/>
        <w:rPr>
          <w:rFonts w:eastAsia="仿宋_GB2312"/>
          <w:sz w:val="32"/>
          <w:szCs w:val="32"/>
        </w:rPr>
      </w:pPr>
      <w:r>
        <w:rPr>
          <w:rFonts w:eastAsia="楷体_GB2312"/>
          <w:b/>
          <w:bCs/>
          <w:sz w:val="32"/>
          <w:szCs w:val="32"/>
        </w:rPr>
        <w:t>1.</w:t>
      </w:r>
      <w:r>
        <w:rPr>
          <w:rFonts w:eastAsia="楷体_GB2312" w:cs="楷体_GB2312" w:hint="eastAsia"/>
          <w:b/>
          <w:bCs/>
          <w:sz w:val="32"/>
          <w:szCs w:val="32"/>
        </w:rPr>
        <w:t>加强组织领导。</w:t>
      </w:r>
      <w:r>
        <w:rPr>
          <w:rFonts w:eastAsia="仿宋_GB2312" w:cs="仿宋_GB2312" w:hint="eastAsia"/>
          <w:sz w:val="32"/>
          <w:szCs w:val="32"/>
        </w:rPr>
        <w:t>市小微企业园建设工作由市促进中小微企业发展工作领导小组统筹实施，办公室设在市经信局，负责组织审议重大决策，协调重点难点问题，加强日常事务管理。各区、县（市）、滨海新城是小微企业园建设工作的责任主体，要建立协调推进机制，确保工作落到实处。</w:t>
      </w:r>
    </w:p>
    <w:p w:rsidR="00E50526" w:rsidRDefault="00E50526" w:rsidP="00BE1536">
      <w:pPr>
        <w:overflowPunct w:val="0"/>
        <w:adjustRightInd w:val="0"/>
        <w:snapToGrid w:val="0"/>
        <w:spacing w:line="580" w:lineRule="exact"/>
        <w:ind w:firstLineChars="200" w:firstLine="643"/>
        <w:rPr>
          <w:rFonts w:eastAsia="仿宋_GB2312"/>
          <w:sz w:val="32"/>
          <w:szCs w:val="32"/>
        </w:rPr>
      </w:pPr>
      <w:r>
        <w:rPr>
          <w:rFonts w:eastAsia="楷体_GB2312"/>
          <w:b/>
          <w:bCs/>
          <w:sz w:val="32"/>
          <w:szCs w:val="32"/>
        </w:rPr>
        <w:t>2.</w:t>
      </w:r>
      <w:r>
        <w:rPr>
          <w:rFonts w:eastAsia="楷体_GB2312" w:cs="楷体_GB2312" w:hint="eastAsia"/>
          <w:b/>
          <w:bCs/>
          <w:sz w:val="32"/>
          <w:szCs w:val="32"/>
        </w:rPr>
        <w:t>推动工作落地。</w:t>
      </w:r>
      <w:r>
        <w:rPr>
          <w:rFonts w:eastAsia="仿宋_GB2312" w:cs="仿宋_GB2312" w:hint="eastAsia"/>
          <w:sz w:val="32"/>
          <w:szCs w:val="32"/>
        </w:rPr>
        <w:t>各区、县（市）、滨海新城要按照“一个园区、一名领导、一个班子、一抓到底”要求，细化推进举措，优化供地、开工、竣工、入驻、投产等服务保障工作，推动各项措施落地生根。强化督查考核，对各地推进情况实行月度跟踪、季度通报和定期督查，将小微企业园建设任务列入各区、县（市）年度目标责任制考核，作为年底考核评先评优依据，确保高质量完成目标任务。</w:t>
      </w:r>
    </w:p>
    <w:p w:rsidR="00E50526" w:rsidRDefault="00E50526" w:rsidP="00BE1536">
      <w:pPr>
        <w:overflowPunct w:val="0"/>
        <w:adjustRightInd w:val="0"/>
        <w:snapToGrid w:val="0"/>
        <w:spacing w:line="580" w:lineRule="exact"/>
        <w:ind w:firstLineChars="200" w:firstLine="643"/>
        <w:rPr>
          <w:rFonts w:eastAsia="仿宋_GB2312"/>
          <w:sz w:val="32"/>
          <w:szCs w:val="32"/>
        </w:rPr>
      </w:pPr>
      <w:r>
        <w:rPr>
          <w:rFonts w:eastAsia="楷体_GB2312"/>
          <w:b/>
          <w:bCs/>
          <w:sz w:val="32"/>
          <w:szCs w:val="32"/>
        </w:rPr>
        <w:lastRenderedPageBreak/>
        <w:t>3.</w:t>
      </w:r>
      <w:r>
        <w:rPr>
          <w:rFonts w:eastAsia="楷体_GB2312" w:cs="楷体_GB2312" w:hint="eastAsia"/>
          <w:b/>
          <w:bCs/>
          <w:sz w:val="32"/>
          <w:szCs w:val="32"/>
        </w:rPr>
        <w:t>营造良好氛围。</w:t>
      </w:r>
      <w:r>
        <w:rPr>
          <w:rFonts w:eastAsia="仿宋_GB2312" w:cs="仿宋_GB2312" w:hint="eastAsia"/>
          <w:sz w:val="32"/>
          <w:szCs w:val="32"/>
        </w:rPr>
        <w:t>多途径宣传推广各地先进经验和创新举措，畅通舆论监督渠道，积极推广优秀小微企业园建设经验，及时公布小微企业园供需信息，定期曝光存在问题，发动群众广泛参与，形成全社会积极支持、合力推进的良好氛围。</w:t>
      </w:r>
    </w:p>
    <w:p w:rsidR="00E50526" w:rsidRDefault="00E50526" w:rsidP="00BE1536">
      <w:pPr>
        <w:overflowPunct w:val="0"/>
        <w:adjustRightInd w:val="0"/>
        <w:snapToGrid w:val="0"/>
        <w:spacing w:line="580" w:lineRule="exact"/>
        <w:ind w:firstLineChars="200" w:firstLine="640"/>
        <w:rPr>
          <w:rFonts w:eastAsia="仿宋_GB2312"/>
          <w:sz w:val="32"/>
          <w:szCs w:val="32"/>
        </w:rPr>
      </w:pPr>
    </w:p>
    <w:p w:rsidR="00E50526" w:rsidRDefault="00E50526" w:rsidP="00BE1536">
      <w:pPr>
        <w:overflowPunct w:val="0"/>
        <w:adjustRightInd w:val="0"/>
        <w:snapToGrid w:val="0"/>
        <w:spacing w:line="580" w:lineRule="exact"/>
        <w:ind w:firstLineChars="200" w:firstLine="640"/>
        <w:rPr>
          <w:rFonts w:eastAsia="仿宋_GB2312"/>
          <w:sz w:val="32"/>
          <w:szCs w:val="32"/>
        </w:rPr>
        <w:sectPr w:rsidR="00E50526">
          <w:footerReference w:type="default" r:id="rId6"/>
          <w:pgSz w:w="11906" w:h="16838"/>
          <w:pgMar w:top="2098" w:right="1531" w:bottom="1871" w:left="1531" w:header="851" w:footer="1531" w:gutter="0"/>
          <w:cols w:space="0"/>
          <w:docGrid w:type="lines" w:linePitch="312"/>
        </w:sectPr>
      </w:pPr>
      <w:r>
        <w:rPr>
          <w:rFonts w:eastAsia="仿宋_GB2312" w:cs="仿宋_GB2312" w:hint="eastAsia"/>
          <w:sz w:val="32"/>
          <w:szCs w:val="32"/>
        </w:rPr>
        <w:t>附件：全市小微企业园建设目标任务分解表</w:t>
      </w:r>
    </w:p>
    <w:p w:rsidR="00E50526" w:rsidRDefault="00E50526">
      <w:pPr>
        <w:spacing w:line="580" w:lineRule="exact"/>
        <w:rPr>
          <w:rFonts w:eastAsia="黑体"/>
          <w:sz w:val="32"/>
          <w:szCs w:val="32"/>
        </w:rPr>
      </w:pPr>
      <w:r>
        <w:rPr>
          <w:rFonts w:eastAsia="黑体" w:cs="黑体" w:hint="eastAsia"/>
          <w:sz w:val="32"/>
          <w:szCs w:val="32"/>
        </w:rPr>
        <w:lastRenderedPageBreak/>
        <w:t>附件：</w:t>
      </w:r>
    </w:p>
    <w:p w:rsidR="00E50526" w:rsidRDefault="00E50526">
      <w:pPr>
        <w:spacing w:line="580" w:lineRule="exact"/>
        <w:jc w:val="center"/>
        <w:rPr>
          <w:rFonts w:eastAsia="方正小标宋简体"/>
          <w:sz w:val="44"/>
          <w:szCs w:val="44"/>
        </w:rPr>
      </w:pPr>
      <w:r>
        <w:rPr>
          <w:rFonts w:eastAsia="方正小标宋简体" w:cs="方正小标宋简体" w:hint="eastAsia"/>
          <w:sz w:val="44"/>
          <w:szCs w:val="44"/>
        </w:rPr>
        <w:t>全市小微企业园建设目标任务分解表</w:t>
      </w:r>
    </w:p>
    <w:p w:rsidR="00E50526" w:rsidRDefault="00E50526">
      <w:pPr>
        <w:spacing w:line="580" w:lineRule="exact"/>
        <w:jc w:val="center"/>
        <w:rPr>
          <w:rFonts w:eastAsia="楷体_GB2312"/>
          <w:sz w:val="32"/>
          <w:szCs w:val="32"/>
        </w:rPr>
      </w:pPr>
      <w:r>
        <w:rPr>
          <w:rFonts w:eastAsia="楷体_GB2312" w:cs="楷体_GB2312" w:hint="eastAsia"/>
          <w:sz w:val="32"/>
          <w:szCs w:val="32"/>
        </w:rPr>
        <w:t>（</w:t>
      </w:r>
      <w:r>
        <w:rPr>
          <w:rFonts w:eastAsia="楷体_GB2312"/>
          <w:sz w:val="32"/>
          <w:szCs w:val="32"/>
        </w:rPr>
        <w:t>2019-2022</w:t>
      </w:r>
      <w:r>
        <w:rPr>
          <w:rFonts w:eastAsia="楷体_GB2312" w:cs="楷体_GB2312" w:hint="eastAsia"/>
          <w:sz w:val="32"/>
          <w:szCs w:val="32"/>
        </w:rPr>
        <w:t>年）</w:t>
      </w:r>
    </w:p>
    <w:p w:rsidR="00E50526" w:rsidRDefault="00E50526">
      <w:pPr>
        <w:spacing w:line="580" w:lineRule="exact"/>
        <w:jc w:val="center"/>
        <w:rPr>
          <w:rFonts w:eastAsia="楷体_GB2312"/>
          <w:sz w:val="32"/>
          <w:szCs w:val="32"/>
        </w:rPr>
      </w:pP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600"/>
        <w:gridCol w:w="724"/>
        <w:gridCol w:w="616"/>
        <w:gridCol w:w="640"/>
        <w:gridCol w:w="680"/>
        <w:gridCol w:w="620"/>
        <w:gridCol w:w="680"/>
        <w:gridCol w:w="575"/>
        <w:gridCol w:w="657"/>
        <w:gridCol w:w="656"/>
        <w:gridCol w:w="658"/>
        <w:gridCol w:w="657"/>
        <w:gridCol w:w="657"/>
        <w:gridCol w:w="657"/>
        <w:gridCol w:w="657"/>
        <w:gridCol w:w="609"/>
        <w:gridCol w:w="627"/>
        <w:gridCol w:w="697"/>
        <w:gridCol w:w="696"/>
        <w:gridCol w:w="657"/>
        <w:gridCol w:w="657"/>
      </w:tblGrid>
      <w:tr w:rsidR="00E50526">
        <w:trPr>
          <w:trHeight w:val="23"/>
          <w:jc w:val="center"/>
        </w:trPr>
        <w:tc>
          <w:tcPr>
            <w:tcW w:w="950" w:type="dxa"/>
            <w:vMerge w:val="restart"/>
            <w:tcBorders>
              <w:top w:val="single" w:sz="12" w:space="0" w:color="000000"/>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区</w:t>
            </w:r>
            <w:r w:rsidRPr="004D629C">
              <w:t xml:space="preserve">  </w:t>
            </w:r>
            <w:r w:rsidRPr="004D629C">
              <w:rPr>
                <w:rFonts w:cs="宋体" w:hint="eastAsia"/>
              </w:rPr>
              <w:t>域</w:t>
            </w:r>
          </w:p>
        </w:tc>
        <w:tc>
          <w:tcPr>
            <w:tcW w:w="1940" w:type="dxa"/>
            <w:gridSpan w:val="3"/>
            <w:tcBorders>
              <w:top w:val="single" w:sz="12" w:space="0" w:color="000000"/>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目标数（个）</w:t>
            </w:r>
          </w:p>
        </w:tc>
        <w:tc>
          <w:tcPr>
            <w:tcW w:w="640" w:type="dxa"/>
            <w:vMerge w:val="restart"/>
            <w:tcBorders>
              <w:top w:val="single" w:sz="12" w:space="0" w:color="000000"/>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2019</w:t>
            </w:r>
            <w:r w:rsidRPr="004D629C">
              <w:rPr>
                <w:rFonts w:cs="宋体" w:hint="eastAsia"/>
              </w:rPr>
              <w:t>年</w:t>
            </w:r>
          </w:p>
        </w:tc>
        <w:tc>
          <w:tcPr>
            <w:tcW w:w="680" w:type="dxa"/>
            <w:vMerge w:val="restart"/>
            <w:tcBorders>
              <w:top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2020</w:t>
            </w:r>
            <w:r w:rsidRPr="004D629C">
              <w:rPr>
                <w:rFonts w:cs="宋体" w:hint="eastAsia"/>
              </w:rPr>
              <w:t>年</w:t>
            </w:r>
          </w:p>
        </w:tc>
        <w:tc>
          <w:tcPr>
            <w:tcW w:w="620" w:type="dxa"/>
            <w:vMerge w:val="restart"/>
            <w:tcBorders>
              <w:top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2021</w:t>
            </w:r>
            <w:r w:rsidRPr="004D629C">
              <w:rPr>
                <w:rFonts w:cs="宋体" w:hint="eastAsia"/>
              </w:rPr>
              <w:t>年</w:t>
            </w:r>
          </w:p>
        </w:tc>
        <w:tc>
          <w:tcPr>
            <w:tcW w:w="680" w:type="dxa"/>
            <w:vMerge w:val="restart"/>
            <w:tcBorders>
              <w:top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2022</w:t>
            </w:r>
            <w:r w:rsidRPr="004D629C">
              <w:rPr>
                <w:rFonts w:cs="宋体" w:hint="eastAsia"/>
              </w:rPr>
              <w:t>年</w:t>
            </w:r>
          </w:p>
        </w:tc>
        <w:tc>
          <w:tcPr>
            <w:tcW w:w="1888" w:type="dxa"/>
            <w:gridSpan w:val="3"/>
            <w:tcBorders>
              <w:top w:val="single" w:sz="12" w:space="0" w:color="000000"/>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其中：</w:t>
            </w:r>
            <w:r w:rsidRPr="004D629C">
              <w:t>100</w:t>
            </w:r>
            <w:r w:rsidRPr="004D629C">
              <w:rPr>
                <w:rFonts w:cs="宋体" w:hint="eastAsia"/>
              </w:rPr>
              <w:t>亩</w:t>
            </w:r>
          </w:p>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以上</w:t>
            </w:r>
          </w:p>
        </w:tc>
        <w:tc>
          <w:tcPr>
            <w:tcW w:w="658" w:type="dxa"/>
            <w:vMerge w:val="restart"/>
            <w:tcBorders>
              <w:top w:val="single" w:sz="12" w:space="0" w:color="000000"/>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2019</w:t>
            </w:r>
            <w:r w:rsidRPr="004D629C">
              <w:rPr>
                <w:rFonts w:cs="宋体" w:hint="eastAsia"/>
              </w:rPr>
              <w:t>年</w:t>
            </w:r>
          </w:p>
        </w:tc>
        <w:tc>
          <w:tcPr>
            <w:tcW w:w="657" w:type="dxa"/>
            <w:vMerge w:val="restart"/>
            <w:tcBorders>
              <w:top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2020</w:t>
            </w:r>
            <w:r w:rsidRPr="004D629C">
              <w:rPr>
                <w:rFonts w:cs="宋体" w:hint="eastAsia"/>
              </w:rPr>
              <w:t>年</w:t>
            </w:r>
          </w:p>
        </w:tc>
        <w:tc>
          <w:tcPr>
            <w:tcW w:w="657" w:type="dxa"/>
            <w:vMerge w:val="restart"/>
            <w:tcBorders>
              <w:top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2021</w:t>
            </w:r>
            <w:r w:rsidRPr="004D629C">
              <w:rPr>
                <w:rFonts w:cs="宋体" w:hint="eastAsia"/>
              </w:rPr>
              <w:t>年</w:t>
            </w:r>
          </w:p>
        </w:tc>
        <w:tc>
          <w:tcPr>
            <w:tcW w:w="657" w:type="dxa"/>
            <w:vMerge w:val="restart"/>
            <w:tcBorders>
              <w:top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2022</w:t>
            </w:r>
            <w:r w:rsidRPr="004D629C">
              <w:rPr>
                <w:rFonts w:cs="宋体" w:hint="eastAsia"/>
              </w:rPr>
              <w:t>年</w:t>
            </w:r>
          </w:p>
        </w:tc>
        <w:tc>
          <w:tcPr>
            <w:tcW w:w="1893" w:type="dxa"/>
            <w:gridSpan w:val="3"/>
            <w:tcBorders>
              <w:top w:val="single" w:sz="12" w:space="0" w:color="000000"/>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入园企业（家）</w:t>
            </w:r>
          </w:p>
        </w:tc>
        <w:tc>
          <w:tcPr>
            <w:tcW w:w="697" w:type="dxa"/>
            <w:vMerge w:val="restart"/>
            <w:tcBorders>
              <w:top w:val="single" w:sz="12" w:space="0" w:color="000000"/>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2019</w:t>
            </w:r>
            <w:r w:rsidRPr="004D629C">
              <w:rPr>
                <w:rFonts w:cs="宋体" w:hint="eastAsia"/>
              </w:rPr>
              <w:t>年</w:t>
            </w:r>
          </w:p>
        </w:tc>
        <w:tc>
          <w:tcPr>
            <w:tcW w:w="696" w:type="dxa"/>
            <w:vMerge w:val="restart"/>
            <w:tcBorders>
              <w:top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2020</w:t>
            </w:r>
            <w:r w:rsidRPr="004D629C">
              <w:rPr>
                <w:rFonts w:cs="宋体" w:hint="eastAsia"/>
              </w:rPr>
              <w:t>年</w:t>
            </w:r>
          </w:p>
        </w:tc>
        <w:tc>
          <w:tcPr>
            <w:tcW w:w="657" w:type="dxa"/>
            <w:vMerge w:val="restart"/>
            <w:tcBorders>
              <w:top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2021</w:t>
            </w:r>
            <w:r w:rsidRPr="004D629C">
              <w:rPr>
                <w:rFonts w:cs="宋体" w:hint="eastAsia"/>
              </w:rPr>
              <w:t>年</w:t>
            </w:r>
          </w:p>
        </w:tc>
        <w:tc>
          <w:tcPr>
            <w:tcW w:w="657" w:type="dxa"/>
            <w:vMerge w:val="restart"/>
            <w:tcBorders>
              <w:top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t>2022</w:t>
            </w:r>
            <w:r w:rsidRPr="004D629C">
              <w:rPr>
                <w:rFonts w:cs="宋体" w:hint="eastAsia"/>
              </w:rPr>
              <w:t>年</w:t>
            </w:r>
          </w:p>
        </w:tc>
      </w:tr>
      <w:tr w:rsidR="00E50526">
        <w:trPr>
          <w:trHeight w:val="23"/>
          <w:jc w:val="center"/>
        </w:trPr>
        <w:tc>
          <w:tcPr>
            <w:tcW w:w="950" w:type="dxa"/>
            <w:vMerge/>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合计</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已建</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待建</w:t>
            </w:r>
          </w:p>
        </w:tc>
        <w:tc>
          <w:tcPr>
            <w:tcW w:w="640" w:type="dxa"/>
            <w:vMerge/>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80" w:type="dxa"/>
            <w:vMerge/>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20" w:type="dxa"/>
            <w:vMerge/>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80" w:type="dxa"/>
            <w:vMerge/>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合计</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已建</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待建</w:t>
            </w:r>
          </w:p>
        </w:tc>
        <w:tc>
          <w:tcPr>
            <w:tcW w:w="658" w:type="dxa"/>
            <w:vMerge/>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57" w:type="dxa"/>
            <w:vMerge/>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57" w:type="dxa"/>
            <w:vMerge/>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57" w:type="dxa"/>
            <w:vMerge/>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rPr>
              <w:t>合计</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rPr>
                <w:w w:val="85"/>
              </w:rPr>
            </w:pPr>
            <w:r w:rsidRPr="004D629C">
              <w:rPr>
                <w:rFonts w:cs="宋体" w:hint="eastAsia"/>
                <w:w w:val="85"/>
              </w:rPr>
              <w:t>已入园</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w w:val="85"/>
              </w:rPr>
            </w:pPr>
            <w:r w:rsidRPr="004D629C">
              <w:rPr>
                <w:rFonts w:cs="宋体" w:hint="eastAsia"/>
                <w:w w:val="85"/>
              </w:rPr>
              <w:t>待入园</w:t>
            </w:r>
          </w:p>
        </w:tc>
        <w:tc>
          <w:tcPr>
            <w:tcW w:w="697" w:type="dxa"/>
            <w:vMerge/>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96" w:type="dxa"/>
            <w:vMerge/>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57" w:type="dxa"/>
            <w:vMerge/>
            <w:vAlign w:val="center"/>
          </w:tcPr>
          <w:p w:rsidR="00E50526" w:rsidRPr="004D629C" w:rsidRDefault="00E50526" w:rsidP="00BE1536">
            <w:pPr>
              <w:overflowPunct w:val="0"/>
              <w:adjustRightInd w:val="0"/>
              <w:snapToGrid w:val="0"/>
              <w:spacing w:line="280" w:lineRule="exact"/>
              <w:ind w:leftChars="-40" w:left="-84" w:rightChars="-40" w:right="-84"/>
              <w:jc w:val="center"/>
            </w:pPr>
          </w:p>
        </w:tc>
        <w:tc>
          <w:tcPr>
            <w:tcW w:w="657" w:type="dxa"/>
            <w:vMerge/>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p>
        </w:tc>
      </w:tr>
      <w:tr w:rsidR="00E50526">
        <w:trPr>
          <w:trHeight w:val="23"/>
          <w:jc w:val="center"/>
        </w:trPr>
        <w:tc>
          <w:tcPr>
            <w:tcW w:w="950" w:type="dxa"/>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全市</w:t>
            </w: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150</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60</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90</w:t>
            </w:r>
          </w:p>
        </w:tc>
        <w:tc>
          <w:tcPr>
            <w:tcW w:w="64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25</w:t>
            </w:r>
          </w:p>
        </w:tc>
        <w:tc>
          <w:tcPr>
            <w:tcW w:w="68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25</w:t>
            </w:r>
          </w:p>
        </w:tc>
        <w:tc>
          <w:tcPr>
            <w:tcW w:w="62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22</w:t>
            </w:r>
          </w:p>
        </w:tc>
        <w:tc>
          <w:tcPr>
            <w:tcW w:w="680"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18</w:t>
            </w: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50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21</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29</w:t>
            </w:r>
          </w:p>
        </w:tc>
        <w:tc>
          <w:tcPr>
            <w:tcW w:w="658"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8</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8</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7</w:t>
            </w: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10000</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2708</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7300</w:t>
            </w:r>
          </w:p>
        </w:tc>
        <w:tc>
          <w:tcPr>
            <w:tcW w:w="69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2100</w:t>
            </w:r>
          </w:p>
        </w:tc>
        <w:tc>
          <w:tcPr>
            <w:tcW w:w="696"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1840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1820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1550</w:t>
            </w:r>
          </w:p>
        </w:tc>
      </w:tr>
      <w:tr w:rsidR="00E50526">
        <w:trPr>
          <w:trHeight w:val="23"/>
          <w:jc w:val="center"/>
        </w:trPr>
        <w:tc>
          <w:tcPr>
            <w:tcW w:w="950" w:type="dxa"/>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越城区</w:t>
            </w: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25</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14</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11</w:t>
            </w:r>
          </w:p>
        </w:tc>
        <w:tc>
          <w:tcPr>
            <w:tcW w:w="64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68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62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680"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6</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8"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1800</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463</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1340</w:t>
            </w:r>
          </w:p>
        </w:tc>
        <w:tc>
          <w:tcPr>
            <w:tcW w:w="69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300</w:t>
            </w:r>
          </w:p>
        </w:tc>
        <w:tc>
          <w:tcPr>
            <w:tcW w:w="696"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240</w:t>
            </w:r>
          </w:p>
        </w:tc>
      </w:tr>
      <w:tr w:rsidR="00E50526">
        <w:trPr>
          <w:trHeight w:val="23"/>
          <w:jc w:val="center"/>
        </w:trPr>
        <w:tc>
          <w:tcPr>
            <w:tcW w:w="950" w:type="dxa"/>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柯桥区</w:t>
            </w: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32</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12</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20</w:t>
            </w:r>
          </w:p>
        </w:tc>
        <w:tc>
          <w:tcPr>
            <w:tcW w:w="64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w:t>
            </w:r>
          </w:p>
        </w:tc>
        <w:tc>
          <w:tcPr>
            <w:tcW w:w="68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w:t>
            </w:r>
          </w:p>
        </w:tc>
        <w:tc>
          <w:tcPr>
            <w:tcW w:w="62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w:t>
            </w:r>
          </w:p>
        </w:tc>
        <w:tc>
          <w:tcPr>
            <w:tcW w:w="680"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rPr>
              <w:t>11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7</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658"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2200</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603</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1600</w:t>
            </w:r>
          </w:p>
        </w:tc>
        <w:tc>
          <w:tcPr>
            <w:tcW w:w="69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500</w:t>
            </w:r>
          </w:p>
        </w:tc>
        <w:tc>
          <w:tcPr>
            <w:tcW w:w="696"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300</w:t>
            </w:r>
          </w:p>
        </w:tc>
      </w:tr>
      <w:tr w:rsidR="00E50526">
        <w:trPr>
          <w:trHeight w:val="23"/>
          <w:jc w:val="center"/>
        </w:trPr>
        <w:tc>
          <w:tcPr>
            <w:tcW w:w="950" w:type="dxa"/>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上虞区</w:t>
            </w: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25</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10</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15</w:t>
            </w:r>
          </w:p>
        </w:tc>
        <w:tc>
          <w:tcPr>
            <w:tcW w:w="64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68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62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680"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rPr>
              <w:t>8</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7</w:t>
            </w:r>
          </w:p>
        </w:tc>
        <w:tc>
          <w:tcPr>
            <w:tcW w:w="658"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1600</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500</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1100</w:t>
            </w:r>
          </w:p>
        </w:tc>
        <w:tc>
          <w:tcPr>
            <w:tcW w:w="69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260</w:t>
            </w:r>
          </w:p>
        </w:tc>
        <w:tc>
          <w:tcPr>
            <w:tcW w:w="696"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280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260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300</w:t>
            </w:r>
          </w:p>
        </w:tc>
      </w:tr>
      <w:tr w:rsidR="00E50526">
        <w:trPr>
          <w:trHeight w:val="23"/>
          <w:jc w:val="center"/>
        </w:trPr>
        <w:tc>
          <w:tcPr>
            <w:tcW w:w="950" w:type="dxa"/>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诸暨市</w:t>
            </w: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33</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13</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20</w:t>
            </w:r>
          </w:p>
        </w:tc>
        <w:tc>
          <w:tcPr>
            <w:tcW w:w="64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w:t>
            </w:r>
          </w:p>
        </w:tc>
        <w:tc>
          <w:tcPr>
            <w:tcW w:w="68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w:t>
            </w:r>
          </w:p>
        </w:tc>
        <w:tc>
          <w:tcPr>
            <w:tcW w:w="62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w:t>
            </w:r>
          </w:p>
        </w:tc>
        <w:tc>
          <w:tcPr>
            <w:tcW w:w="680"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rPr>
              <w:t>12</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w:t>
            </w:r>
          </w:p>
        </w:tc>
        <w:tc>
          <w:tcPr>
            <w:tcW w:w="658"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2200</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515</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1690</w:t>
            </w:r>
          </w:p>
        </w:tc>
        <w:tc>
          <w:tcPr>
            <w:tcW w:w="69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500</w:t>
            </w:r>
          </w:p>
        </w:tc>
        <w:tc>
          <w:tcPr>
            <w:tcW w:w="696"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390</w:t>
            </w:r>
          </w:p>
        </w:tc>
      </w:tr>
      <w:tr w:rsidR="00E50526">
        <w:trPr>
          <w:trHeight w:val="23"/>
          <w:jc w:val="center"/>
        </w:trPr>
        <w:tc>
          <w:tcPr>
            <w:tcW w:w="950" w:type="dxa"/>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嵊州市</w:t>
            </w: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20</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15</w:t>
            </w:r>
          </w:p>
        </w:tc>
        <w:tc>
          <w:tcPr>
            <w:tcW w:w="64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68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w:t>
            </w:r>
          </w:p>
        </w:tc>
        <w:tc>
          <w:tcPr>
            <w:tcW w:w="62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680"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rPr>
              <w:t>5</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658"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1200</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350</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850</w:t>
            </w:r>
          </w:p>
        </w:tc>
        <w:tc>
          <w:tcPr>
            <w:tcW w:w="69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300</w:t>
            </w:r>
          </w:p>
        </w:tc>
        <w:tc>
          <w:tcPr>
            <w:tcW w:w="696"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200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200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150</w:t>
            </w:r>
          </w:p>
        </w:tc>
      </w:tr>
      <w:tr w:rsidR="00E50526">
        <w:trPr>
          <w:trHeight w:val="23"/>
          <w:jc w:val="center"/>
        </w:trPr>
        <w:tc>
          <w:tcPr>
            <w:tcW w:w="950" w:type="dxa"/>
            <w:tcBorders>
              <w:left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新昌县</w:t>
            </w:r>
          </w:p>
        </w:tc>
        <w:tc>
          <w:tcPr>
            <w:tcW w:w="60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10</w:t>
            </w:r>
          </w:p>
        </w:tc>
        <w:tc>
          <w:tcPr>
            <w:tcW w:w="724"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61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w:t>
            </w:r>
          </w:p>
        </w:tc>
        <w:tc>
          <w:tcPr>
            <w:tcW w:w="640"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8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20"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80"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575"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rPr>
              <w:t>4</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0</w:t>
            </w:r>
          </w:p>
        </w:tc>
        <w:tc>
          <w:tcPr>
            <w:tcW w:w="656"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w:t>
            </w:r>
          </w:p>
        </w:tc>
        <w:tc>
          <w:tcPr>
            <w:tcW w:w="658"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800</w:t>
            </w:r>
          </w:p>
        </w:tc>
        <w:tc>
          <w:tcPr>
            <w:tcW w:w="609"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212</w:t>
            </w:r>
          </w:p>
        </w:tc>
        <w:tc>
          <w:tcPr>
            <w:tcW w:w="62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590</w:t>
            </w:r>
          </w:p>
        </w:tc>
        <w:tc>
          <w:tcPr>
            <w:tcW w:w="697" w:type="dxa"/>
            <w:tcBorders>
              <w:lef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200</w:t>
            </w:r>
          </w:p>
        </w:tc>
        <w:tc>
          <w:tcPr>
            <w:tcW w:w="696"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120</w:t>
            </w:r>
          </w:p>
        </w:tc>
        <w:tc>
          <w:tcPr>
            <w:tcW w:w="657" w:type="dxa"/>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120</w:t>
            </w:r>
          </w:p>
        </w:tc>
        <w:tc>
          <w:tcPr>
            <w:tcW w:w="657" w:type="dxa"/>
            <w:tcBorders>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150</w:t>
            </w:r>
          </w:p>
        </w:tc>
      </w:tr>
      <w:tr w:rsidR="00E50526">
        <w:trPr>
          <w:trHeight w:val="23"/>
          <w:jc w:val="center"/>
        </w:trPr>
        <w:tc>
          <w:tcPr>
            <w:tcW w:w="950" w:type="dxa"/>
            <w:tcBorders>
              <w:left w:val="single" w:sz="12" w:space="0" w:color="000000"/>
              <w:bottom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rFonts w:cs="宋体" w:hint="eastAsia"/>
                <w:color w:val="000000"/>
              </w:rPr>
              <w:t>滨海新城</w:t>
            </w:r>
          </w:p>
        </w:tc>
        <w:tc>
          <w:tcPr>
            <w:tcW w:w="600" w:type="dxa"/>
            <w:tcBorders>
              <w:left w:val="single" w:sz="12" w:space="0" w:color="000000"/>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5</w:t>
            </w:r>
          </w:p>
        </w:tc>
        <w:tc>
          <w:tcPr>
            <w:tcW w:w="724"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16" w:type="dxa"/>
            <w:tcBorders>
              <w:bottom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3</w:t>
            </w:r>
          </w:p>
        </w:tc>
        <w:tc>
          <w:tcPr>
            <w:tcW w:w="640" w:type="dxa"/>
            <w:tcBorders>
              <w:left w:val="single" w:sz="12" w:space="0" w:color="000000"/>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80"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20"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80" w:type="dxa"/>
            <w:tcBorders>
              <w:bottom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0</w:t>
            </w:r>
          </w:p>
        </w:tc>
        <w:tc>
          <w:tcPr>
            <w:tcW w:w="575" w:type="dxa"/>
            <w:tcBorders>
              <w:left w:val="single" w:sz="12" w:space="0" w:color="000000"/>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rPr>
              <w:t>4</w:t>
            </w:r>
          </w:p>
        </w:tc>
        <w:tc>
          <w:tcPr>
            <w:tcW w:w="657"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6" w:type="dxa"/>
            <w:tcBorders>
              <w:bottom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w:t>
            </w:r>
          </w:p>
        </w:tc>
        <w:tc>
          <w:tcPr>
            <w:tcW w:w="658" w:type="dxa"/>
            <w:tcBorders>
              <w:left w:val="single" w:sz="12" w:space="0" w:color="000000"/>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0</w:t>
            </w:r>
          </w:p>
        </w:tc>
        <w:tc>
          <w:tcPr>
            <w:tcW w:w="657"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w:t>
            </w:r>
          </w:p>
        </w:tc>
        <w:tc>
          <w:tcPr>
            <w:tcW w:w="657" w:type="dxa"/>
            <w:tcBorders>
              <w:bottom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0</w:t>
            </w:r>
          </w:p>
        </w:tc>
        <w:tc>
          <w:tcPr>
            <w:tcW w:w="657" w:type="dxa"/>
            <w:tcBorders>
              <w:left w:val="single" w:sz="12" w:space="0" w:color="000000"/>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rPr>
                <w:b/>
                <w:bCs/>
              </w:rPr>
            </w:pPr>
            <w:r w:rsidRPr="004D629C">
              <w:rPr>
                <w:b/>
                <w:bCs/>
                <w:color w:val="000000"/>
              </w:rPr>
              <w:t>200</w:t>
            </w:r>
          </w:p>
        </w:tc>
        <w:tc>
          <w:tcPr>
            <w:tcW w:w="609"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65</w:t>
            </w:r>
          </w:p>
        </w:tc>
        <w:tc>
          <w:tcPr>
            <w:tcW w:w="627" w:type="dxa"/>
            <w:tcBorders>
              <w:bottom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140</w:t>
            </w:r>
          </w:p>
        </w:tc>
        <w:tc>
          <w:tcPr>
            <w:tcW w:w="697" w:type="dxa"/>
            <w:tcBorders>
              <w:left w:val="single" w:sz="12" w:space="0" w:color="000000"/>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w:t>
            </w:r>
          </w:p>
        </w:tc>
        <w:tc>
          <w:tcPr>
            <w:tcW w:w="696"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w:t>
            </w:r>
          </w:p>
        </w:tc>
        <w:tc>
          <w:tcPr>
            <w:tcW w:w="657" w:type="dxa"/>
            <w:tcBorders>
              <w:bottom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40</w:t>
            </w:r>
          </w:p>
        </w:tc>
        <w:tc>
          <w:tcPr>
            <w:tcW w:w="657" w:type="dxa"/>
            <w:tcBorders>
              <w:bottom w:val="single" w:sz="12" w:space="0" w:color="000000"/>
              <w:right w:val="single" w:sz="12" w:space="0" w:color="000000"/>
            </w:tcBorders>
            <w:vAlign w:val="center"/>
          </w:tcPr>
          <w:p w:rsidR="00E50526" w:rsidRPr="004D629C" w:rsidRDefault="00E50526" w:rsidP="00BE1536">
            <w:pPr>
              <w:overflowPunct w:val="0"/>
              <w:adjustRightInd w:val="0"/>
              <w:snapToGrid w:val="0"/>
              <w:spacing w:line="280" w:lineRule="exact"/>
              <w:ind w:leftChars="-40" w:left="-84" w:rightChars="-40" w:right="-84"/>
              <w:jc w:val="center"/>
            </w:pPr>
            <w:r w:rsidRPr="004D629C">
              <w:rPr>
                <w:color w:val="000000"/>
              </w:rPr>
              <w:t>20</w:t>
            </w:r>
          </w:p>
        </w:tc>
      </w:tr>
    </w:tbl>
    <w:p w:rsidR="00E50526" w:rsidRDefault="00E50526">
      <w:pPr>
        <w:overflowPunct w:val="0"/>
        <w:adjustRightInd w:val="0"/>
        <w:snapToGrid w:val="0"/>
        <w:spacing w:line="580" w:lineRule="exact"/>
        <w:rPr>
          <w:rFonts w:eastAsia="仿宋"/>
          <w:sz w:val="32"/>
          <w:szCs w:val="32"/>
        </w:rPr>
      </w:pPr>
    </w:p>
    <w:p w:rsidR="00E50526" w:rsidRDefault="00E50526" w:rsidP="0052502F">
      <w:pPr>
        <w:spacing w:line="580" w:lineRule="exact"/>
        <w:ind w:firstLineChars="200" w:firstLine="640"/>
        <w:rPr>
          <w:rFonts w:eastAsia="仿宋_GB2312"/>
          <w:color w:val="FF0000"/>
          <w:sz w:val="32"/>
          <w:szCs w:val="32"/>
        </w:rPr>
      </w:pPr>
    </w:p>
    <w:sectPr w:rsidR="00E50526" w:rsidSect="00446D30">
      <w:footerReference w:type="default" r:id="rId7"/>
      <w:pgSz w:w="16838" w:h="11906" w:orient="landscape"/>
      <w:pgMar w:top="1587" w:right="1587" w:bottom="1587" w:left="1587"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5EE" w:rsidRDefault="00FC05EE" w:rsidP="00446D30">
      <w:r>
        <w:separator/>
      </w:r>
    </w:p>
  </w:endnote>
  <w:endnote w:type="continuationSeparator" w:id="1">
    <w:p w:rsidR="00FC05EE" w:rsidRDefault="00FC05EE" w:rsidP="00446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26" w:rsidRDefault="00A5510A">
    <w:pPr>
      <w:pStyle w:val="a3"/>
      <w:rPr>
        <w:rFonts w:cs="Times New Roman"/>
      </w:rPr>
    </w:pPr>
    <w:r w:rsidRPr="00A5510A">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strokeweight=".5pt">
          <v:textbox style="mso-fit-shape-to-text:t" inset="0,0,0,0">
            <w:txbxContent>
              <w:p w:rsidR="00E50526" w:rsidRDefault="00A5510A">
                <w:pPr>
                  <w:pStyle w:val="a3"/>
                  <w:rPr>
                    <w:rFonts w:ascii="Times New Roman" w:hAnsi="Times New Roman" w:cs="Times New Roman"/>
                    <w:sz w:val="24"/>
                    <w:szCs w:val="24"/>
                  </w:rPr>
                </w:pPr>
                <w:r>
                  <w:rPr>
                    <w:rFonts w:ascii="Times New Roman" w:hAnsi="Times New Roman" w:cs="Times New Roman"/>
                    <w:sz w:val="24"/>
                    <w:szCs w:val="24"/>
                  </w:rPr>
                  <w:fldChar w:fldCharType="begin"/>
                </w:r>
                <w:r w:rsidR="00E50526">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C453E">
                  <w:rPr>
                    <w:rFonts w:ascii="Times New Roman" w:hAnsi="Times New Roman" w:cs="Times New Roman"/>
                    <w:noProof/>
                    <w:sz w:val="24"/>
                    <w:szCs w:val="24"/>
                  </w:rPr>
                  <w:t>9</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26" w:rsidRDefault="00A5510A">
    <w:pPr>
      <w:pStyle w:val="a3"/>
      <w:rPr>
        <w:rFonts w:cs="Times New Roman"/>
      </w:rPr>
    </w:pPr>
    <w:r w:rsidRPr="00A5510A">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strokeweight=".5pt">
          <v:textbox style="mso-fit-shape-to-text:t" inset="0,0,0,0">
            <w:txbxContent>
              <w:p w:rsidR="00E50526" w:rsidRDefault="00A5510A">
                <w:pPr>
                  <w:pStyle w:val="a3"/>
                  <w:rPr>
                    <w:rFonts w:ascii="Times New Roman" w:hAnsi="Times New Roman" w:cs="Times New Roman"/>
                    <w:sz w:val="24"/>
                    <w:szCs w:val="24"/>
                  </w:rPr>
                </w:pPr>
                <w:r>
                  <w:rPr>
                    <w:rFonts w:ascii="Times New Roman" w:hAnsi="Times New Roman" w:cs="Times New Roman"/>
                    <w:sz w:val="24"/>
                    <w:szCs w:val="24"/>
                  </w:rPr>
                  <w:fldChar w:fldCharType="begin"/>
                </w:r>
                <w:r w:rsidR="00E50526">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C453E">
                  <w:rPr>
                    <w:rFonts w:ascii="Times New Roman" w:hAnsi="Times New Roman" w:cs="Times New Roman"/>
                    <w:noProof/>
                    <w:sz w:val="24"/>
                    <w:szCs w:val="24"/>
                  </w:rPr>
                  <w:t>10</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5EE" w:rsidRDefault="00FC05EE" w:rsidP="00446D30">
      <w:r>
        <w:separator/>
      </w:r>
    </w:p>
  </w:footnote>
  <w:footnote w:type="continuationSeparator" w:id="1">
    <w:p w:rsidR="00FC05EE" w:rsidRDefault="00FC05EE" w:rsidP="00446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82129D"/>
    <w:rsid w:val="00087873"/>
    <w:rsid w:val="000B08C2"/>
    <w:rsid w:val="000D5F82"/>
    <w:rsid w:val="000F3205"/>
    <w:rsid w:val="00151DE1"/>
    <w:rsid w:val="00173125"/>
    <w:rsid w:val="001B0239"/>
    <w:rsid w:val="0022468E"/>
    <w:rsid w:val="00255BC4"/>
    <w:rsid w:val="00284F2C"/>
    <w:rsid w:val="00294CB8"/>
    <w:rsid w:val="002F5A06"/>
    <w:rsid w:val="0030333B"/>
    <w:rsid w:val="00326660"/>
    <w:rsid w:val="00446D30"/>
    <w:rsid w:val="00472F26"/>
    <w:rsid w:val="004D629C"/>
    <w:rsid w:val="00521131"/>
    <w:rsid w:val="0052502F"/>
    <w:rsid w:val="005E37DB"/>
    <w:rsid w:val="00650688"/>
    <w:rsid w:val="006A34D4"/>
    <w:rsid w:val="006D6978"/>
    <w:rsid w:val="00751E16"/>
    <w:rsid w:val="007B767A"/>
    <w:rsid w:val="007C453E"/>
    <w:rsid w:val="00835C5A"/>
    <w:rsid w:val="008F1BCD"/>
    <w:rsid w:val="00930AFC"/>
    <w:rsid w:val="0094188C"/>
    <w:rsid w:val="00976E2B"/>
    <w:rsid w:val="00991C68"/>
    <w:rsid w:val="00A208D7"/>
    <w:rsid w:val="00A5510A"/>
    <w:rsid w:val="00A572BA"/>
    <w:rsid w:val="00A96063"/>
    <w:rsid w:val="00AE1A3E"/>
    <w:rsid w:val="00AE1B99"/>
    <w:rsid w:val="00B26D0E"/>
    <w:rsid w:val="00B81DC3"/>
    <w:rsid w:val="00BE1536"/>
    <w:rsid w:val="00BF497C"/>
    <w:rsid w:val="00C065FE"/>
    <w:rsid w:val="00D65099"/>
    <w:rsid w:val="00E1109E"/>
    <w:rsid w:val="00E41399"/>
    <w:rsid w:val="00E50526"/>
    <w:rsid w:val="00F23CEE"/>
    <w:rsid w:val="00FC05EE"/>
    <w:rsid w:val="03042710"/>
    <w:rsid w:val="03693E75"/>
    <w:rsid w:val="04516C8F"/>
    <w:rsid w:val="05D9317D"/>
    <w:rsid w:val="0D612E72"/>
    <w:rsid w:val="0E9C3FBD"/>
    <w:rsid w:val="1514168F"/>
    <w:rsid w:val="1550035D"/>
    <w:rsid w:val="16797953"/>
    <w:rsid w:val="171A061A"/>
    <w:rsid w:val="17770F7D"/>
    <w:rsid w:val="1E023BAA"/>
    <w:rsid w:val="1E4339F2"/>
    <w:rsid w:val="1FDD60F5"/>
    <w:rsid w:val="24277958"/>
    <w:rsid w:val="25BD2214"/>
    <w:rsid w:val="30C36B9A"/>
    <w:rsid w:val="35026BE3"/>
    <w:rsid w:val="3CCD0674"/>
    <w:rsid w:val="4BFE1956"/>
    <w:rsid w:val="5009185E"/>
    <w:rsid w:val="5082129D"/>
    <w:rsid w:val="51001E9E"/>
    <w:rsid w:val="57AF5798"/>
    <w:rsid w:val="5A2951D6"/>
    <w:rsid w:val="5BAD2A28"/>
    <w:rsid w:val="5EA72F68"/>
    <w:rsid w:val="5EE31626"/>
    <w:rsid w:val="63AA7E2A"/>
    <w:rsid w:val="65E34687"/>
    <w:rsid w:val="79A24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D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46D30"/>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semiHidden/>
    <w:locked/>
    <w:rsid w:val="0052502F"/>
    <w:rPr>
      <w:rFonts w:ascii="Times New Roman" w:hAnsi="Times New Roman" w:cs="Times New Roman"/>
      <w:sz w:val="18"/>
      <w:szCs w:val="18"/>
    </w:rPr>
  </w:style>
  <w:style w:type="paragraph" w:styleId="a4">
    <w:name w:val="header"/>
    <w:basedOn w:val="a"/>
    <w:link w:val="Char0"/>
    <w:uiPriority w:val="99"/>
    <w:rsid w:val="00446D3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locked/>
    <w:rsid w:val="0052502F"/>
    <w:rPr>
      <w:rFonts w:ascii="Times New Roman" w:hAnsi="Times New Roman" w:cs="Times New Roman"/>
      <w:sz w:val="18"/>
      <w:szCs w:val="18"/>
    </w:rPr>
  </w:style>
  <w:style w:type="paragraph" w:styleId="a5">
    <w:name w:val="Normal (Web)"/>
    <w:basedOn w:val="a"/>
    <w:uiPriority w:val="99"/>
    <w:rsid w:val="00446D30"/>
    <w:pPr>
      <w:spacing w:beforeAutospacing="1" w:afterAutospacing="1"/>
      <w:jc w:val="left"/>
    </w:pPr>
    <w:rPr>
      <w:kern w:val="0"/>
      <w:sz w:val="24"/>
      <w:szCs w:val="24"/>
    </w:rPr>
  </w:style>
  <w:style w:type="table" w:styleId="a6">
    <w:name w:val="Table Grid"/>
    <w:basedOn w:val="a1"/>
    <w:uiPriority w:val="99"/>
    <w:rsid w:val="00446D30"/>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446D30"/>
    <w:pPr>
      <w:widowControl/>
    </w:pPr>
    <w:rPr>
      <w:kern w:val="0"/>
    </w:rPr>
  </w:style>
  <w:style w:type="paragraph" w:customStyle="1" w:styleId="Default">
    <w:name w:val="Default"/>
    <w:uiPriority w:val="99"/>
    <w:rsid w:val="00446D30"/>
    <w:pPr>
      <w:widowControl w:val="0"/>
      <w:autoSpaceDE w:val="0"/>
      <w:autoSpaceDN w:val="0"/>
      <w:adjustRightInd w:val="0"/>
    </w:pPr>
    <w:rPr>
      <w:rFonts w:ascii="仿宋_GB2312" w:hAnsi="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关于加快小微企业园高质量发展的实施意见</dc:title>
  <dc:creator>丁浪萍</dc:creator>
  <cp:lastModifiedBy>Lenovo</cp:lastModifiedBy>
  <cp:revision>3</cp:revision>
  <cp:lastPrinted>2019-05-15T02:46:00Z</cp:lastPrinted>
  <dcterms:created xsi:type="dcterms:W3CDTF">2019-05-27T07:10:00Z</dcterms:created>
  <dcterms:modified xsi:type="dcterms:W3CDTF">2019-05-27T07:12:00Z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