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C" w:rsidRDefault="00C1465C" w:rsidP="00C1465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C1465C" w:rsidRDefault="00C1465C" w:rsidP="00C1465C">
      <w:pPr>
        <w:rPr>
          <w:rFonts w:ascii="黑体" w:eastAsia="黑体" w:hAnsi="黑体" w:cs="黑体" w:hint="eastAsia"/>
          <w:sz w:val="32"/>
          <w:szCs w:val="32"/>
        </w:rPr>
      </w:pPr>
    </w:p>
    <w:p w:rsidR="00C1465C" w:rsidRDefault="00C1465C" w:rsidP="00C1465C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第一批拟认定市级工业互联网平台</w:t>
      </w:r>
    </w:p>
    <w:p w:rsidR="00C1465C" w:rsidRDefault="00C1465C" w:rsidP="00C1465C">
      <w:pPr>
        <w:jc w:val="center"/>
        <w:rPr>
          <w:rFonts w:ascii="Times New Roman" w:eastAsia="仿宋_GB2312" w:hAnsi="Times New Roman"/>
          <w:sz w:val="32"/>
          <w:szCs w:val="36"/>
          <w:u w:val="single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信息汇总表</w:t>
      </w:r>
    </w:p>
    <w:p w:rsidR="00C1465C" w:rsidRDefault="00C1465C" w:rsidP="00C1465C">
      <w:pPr>
        <w:spacing w:line="560" w:lineRule="exact"/>
        <w:ind w:leftChars="-135" w:left="-283" w:firstLineChars="300" w:firstLine="960"/>
        <w:jc w:val="left"/>
        <w:rPr>
          <w:rFonts w:ascii="Times New Roman" w:eastAsia="仿宋_GB2312" w:hAnsi="Times New Roman"/>
          <w:sz w:val="32"/>
          <w:szCs w:val="36"/>
          <w:u w:val="single"/>
        </w:rPr>
      </w:pPr>
    </w:p>
    <w:tbl>
      <w:tblPr>
        <w:tblW w:w="9813" w:type="dxa"/>
        <w:jc w:val="center"/>
        <w:tblLayout w:type="fixed"/>
        <w:tblLook w:val="0000"/>
      </w:tblPr>
      <w:tblGrid>
        <w:gridCol w:w="953"/>
        <w:gridCol w:w="953"/>
        <w:gridCol w:w="2351"/>
        <w:gridCol w:w="2456"/>
        <w:gridCol w:w="1625"/>
        <w:gridCol w:w="1475"/>
      </w:tblGrid>
      <w:tr w:rsidR="00C1465C" w:rsidTr="006C41EC">
        <w:trPr>
          <w:trHeight w:val="8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rPr>
                <w:rFonts w:ascii="Times New Roman" w:eastAsia="黑体" w:hAnsi="Times New Roman"/>
                <w:bCs/>
                <w:sz w:val="28"/>
                <w:szCs w:val="32"/>
              </w:rPr>
            </w:pPr>
            <w:r>
              <w:rPr>
                <w:rFonts w:ascii="Times New Roman" w:eastAsia="黑体" w:hAnsi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rPr>
                <w:rFonts w:ascii="Times New Roman" w:eastAsia="黑体" w:hAnsi="Times New Roman"/>
                <w:bCs/>
                <w:sz w:val="28"/>
                <w:szCs w:val="32"/>
              </w:rPr>
            </w:pPr>
            <w:r>
              <w:rPr>
                <w:rFonts w:ascii="Times New Roman" w:eastAsia="黑体" w:hAnsi="Times New Roman"/>
                <w:bCs/>
                <w:sz w:val="28"/>
                <w:szCs w:val="32"/>
              </w:rPr>
              <w:t>地区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rPr>
                <w:rFonts w:ascii="Times New Roman" w:eastAsia="黑体" w:hAnsi="Times New Roman"/>
                <w:bCs/>
                <w:sz w:val="28"/>
                <w:szCs w:val="32"/>
              </w:rPr>
            </w:pPr>
            <w:r>
              <w:rPr>
                <w:rFonts w:ascii="Times New Roman" w:eastAsia="黑体" w:hAnsi="Times New Roman"/>
                <w:bCs/>
                <w:sz w:val="28"/>
                <w:szCs w:val="32"/>
              </w:rPr>
              <w:t>申报单位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rPr>
                <w:rFonts w:ascii="Times New Roman" w:eastAsia="黑体" w:hAnsi="Times New Roman"/>
                <w:bCs/>
                <w:sz w:val="28"/>
                <w:szCs w:val="32"/>
              </w:rPr>
            </w:pPr>
            <w:r>
              <w:rPr>
                <w:rFonts w:ascii="Times New Roman" w:eastAsia="黑体" w:hAnsi="Times New Roman"/>
                <w:bCs/>
                <w:sz w:val="28"/>
                <w:szCs w:val="32"/>
              </w:rPr>
              <w:t>平台名称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rPr>
                <w:rFonts w:ascii="Times New Roman" w:eastAsia="黑体" w:hAnsi="Times New Roman"/>
                <w:bCs/>
                <w:sz w:val="28"/>
                <w:szCs w:val="32"/>
              </w:rPr>
            </w:pPr>
            <w:r>
              <w:rPr>
                <w:rFonts w:ascii="Times New Roman" w:eastAsia="黑体" w:hAnsi="Times New Roman"/>
                <w:bCs/>
                <w:sz w:val="28"/>
                <w:szCs w:val="32"/>
              </w:rPr>
              <w:t>平台类别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ind w:rightChars="325" w:right="683"/>
              <w:jc w:val="center"/>
              <w:rPr>
                <w:rFonts w:ascii="Times New Roman" w:eastAsia="黑体" w:hAnsi="Times New Roman"/>
                <w:bCs/>
                <w:sz w:val="28"/>
                <w:szCs w:val="32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32"/>
              </w:rPr>
              <w:t>备注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柯桥区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绍兴环思智慧科技股份有限公司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环思纺织工业互联网平台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行业级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省级工业互联网平台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上虞区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卧龙电气驱动集团有限公司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卧龙电驱一体化制造运营管理平台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省级工业互联网平台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诸暨市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浙江迪艾智控科技股份有限公司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基于物联网的阀门智能化运营平台（迪艾智控智能协同工业互联网平台）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省级工业互联网平台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诸暨市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全兴精工集团有限公司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全兴精工集团汽车零部件物联网平台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省级工业互联网平台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新昌县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浙江陀曼智造科技有限公司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（轴承）行业工业互联网平台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行业级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省级工业互联网平台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新昌县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浙江康立自控科技有限公司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浙江康立纺织行业互联网平台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行业级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省级工业互联网平台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越城区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喜临门家具股份有限公司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离散型制造业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5G+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工业互联网应用服务平台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行业级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省级工业互联网平台</w:t>
            </w: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新昌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浙江三花智能控制股份有限公司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三花工业互联网平台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上虞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绍兴安瑞思网络科技有限公司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化工智慧安全环保监管平台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行业级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诸暨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浙江海亮股份有限公司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基于精密铜管低碳智造工业互联网平台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上虞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浙江上风高科专风实业股份有限公司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通风装备实时监测与智能故障诊断平台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特定环节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新昌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浙江科恩实验室设备有限公司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智慧实验室信息化监管云平台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特定环节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lastRenderedPageBreak/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上虞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浙江灏宇科技有限公司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绿色印染智能控制工业互联网平台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诸暨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浙江洁丽雅股份有限公司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洁丽雅毛巾绿色智造工业互联网平台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上虞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浙江运发实业有限公司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运发实业工艺品加工互联网平台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诸暨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诸暨禾物数字科技有限公司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色彩飞扬广告工业互联网平台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行业级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越城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昊华木业企业互联网平台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绍兴昊华木业有限公司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上虞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浙江闰土股份有限公司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闰土生态工业园应急监管指挥平台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上虞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浙江维大师网络科技有限公司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维大师中央空调监控和运维云系统平台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  <w:tr w:rsidR="00C1465C" w:rsidTr="006C41EC">
        <w:trPr>
          <w:trHeight w:val="7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诸暨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艾依诺科技有限公司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艾依诺智能制造协同工业互联网平台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企业级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5C" w:rsidRDefault="00C1465C" w:rsidP="006C41EC">
            <w:pPr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</w:tbl>
    <w:p w:rsidR="00C1465C" w:rsidRDefault="00C1465C" w:rsidP="00C1465C"/>
    <w:p w:rsidR="00C1465C" w:rsidRDefault="00C1465C" w:rsidP="00C1465C"/>
    <w:p w:rsidR="00C1465C" w:rsidRDefault="00C1465C" w:rsidP="00C1465C">
      <w:pPr>
        <w:spacing w:line="580" w:lineRule="exact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5D6220" w:rsidRDefault="005D6220"/>
    <w:sectPr w:rsidR="005D62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65C"/>
    <w:rsid w:val="005D6220"/>
    <w:rsid w:val="00C1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2021-11-02T08:48:00Z</dcterms:created>
  <dcterms:modified xsi:type="dcterms:W3CDTF">2021-11-02T08:48:00Z</dcterms:modified>
</cp:coreProperties>
</file>